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Purchase Price Allocation &amp; Acquisition Accounting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Purchase Price Allocation and Acquisition Accounting Policy establishes the standards, procedures, and controls governing how [Company Name] accounts for business combinations per ASC 805 (Business Combinations). The policy provides detailed guidance for the purchase price allocation (PPA) process, including identification and valuation of acquired assets and liabilities, goodwill recognition, and measurement period adjustments.</w:t>
      </w:r>
    </w:p>
    <w:p>
      <w:pPr>
        <w:spacing w:after="150" w:before="0"/>
        <w:jc w:val="both"/>
      </w:pPr>
      <w:r>
        <w:rPr>
          <w:rFonts w:ascii="Calibri" w:cs="Calibri" w:eastAsia="Calibri" w:hAnsi="Calibri"/>
          <w:color w:val="333333"/>
          <w:sz w:val="22"/>
          <w:szCs w:val="22"/>
        </w:rPr>
        <w:t xml:space="preserve">This policy applies to all business combinations where [Company Name] is the acquirer, including: stock acquisitions, asset acquisitions meeting the business combination definition, mergers, and step acquisitions achieving control. It does not apply to asset acquisitions that do not meet the definition of a business under ASC 805-10.</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Allocate the purchase price to acquired assets and liabilities at fair value per ASC 805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and value all intangible assets meeting the recognition criteria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Determine the appropriate amount of goodwill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Complete the PPA within the measurement period (up to one year from the acquisition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disclosure of business combinations in financial statements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audit-ready documentation supporting all valuation conclusions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Combination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transaction in which an acquirer obtains control of one or more businesses.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Purchase Price (Consideration Transferred)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fair value of assets transferred, liabilities assumed, and equity interests issued by [Company Name] to obtain control of the acquiree.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Purchase Price Allocation (PPA)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of allocating the total consideration to the identifiable assets acquired and liabilities assumed at their acquisition-date fair values.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Goodwill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excess of the consideration transferred over the net identifiable assets acquired; represents future economic benefits from assets that cannot be individually identified.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Bargain Purchase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net identifiable assets exceed the consideration transferred, resulting in a gain (rare; requires re-evaluation before recognition).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Identifiable Intangible Asset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intangible asset that is either separable (can be sold, licensed, or transferred) or arises from a contractual or legal right.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Measurement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period after the acquisition date (up to one year) during which the acquirer may adjust provisional PPA amounts as new information about acquisition-date facts is obtained.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Contingent Consideration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Additional consideration payable to the seller contingent on the occurrence of future events (earnouts, milestone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Acquisition Costs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Transaction costs incurred to effect the acquisition (legal, advisory, due diligence fees); expensed as incurred under ASC 805.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Working Capital Adjustment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post-closing adjustment to the purchase price based on the difference between estimated and actual working capital at closing.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Acquisition Method</w:t>
      </w:r>
    </w:p>
    <w:p>
      <w:pPr>
        <w:spacing w:after="150" w:before="0"/>
        <w:jc w:val="both"/>
      </w:pPr>
      <w:r>
        <w:rPr>
          <w:rFonts w:ascii="Calibri" w:cs="Calibri" w:eastAsia="Calibri" w:hAnsi="Calibri"/>
          <w:color w:val="333333"/>
          <w:sz w:val="22"/>
          <w:szCs w:val="22"/>
        </w:rPr>
        <w:t xml:space="preserve">[Company Name] shall account for all business combinations using the acquisition method per ASC 805: identify the acquirer, determine the acquisition date, recognize and measure identifiable assets acquired and liabilities assumed at fair value, and recognize goodwill or a gain from a bargain purchase.</w:t>
      </w:r>
    </w:p>
    <w:p>
      <w:pPr>
        <w:pStyle w:val="Heading2"/>
        <w:spacing w:after="150" w:before="300"/>
      </w:pPr>
      <w:r>
        <w:rPr>
          <w:rFonts w:ascii="Georgia" w:cs="Georgia" w:eastAsia="Georgia" w:hAnsi="Georgia"/>
          <w:b/>
          <w:bCs/>
          <w:color w:val="333333"/>
          <w:sz w:val="26"/>
          <w:szCs w:val="26"/>
        </w:rPr>
        <w:t xml:space="preserve">3.2 Consideration Measurement</w:t>
      </w:r>
    </w:p>
    <w:p>
      <w:pPr>
        <w:spacing w:after="150" w:before="0"/>
        <w:jc w:val="both"/>
      </w:pPr>
      <w:r>
        <w:rPr>
          <w:rFonts w:ascii="Calibri" w:cs="Calibri" w:eastAsia="Calibri" w:hAnsi="Calibri"/>
          <w:color w:val="333333"/>
          <w:sz w:val="22"/>
          <w:szCs w:val="22"/>
        </w:rPr>
        <w:t xml:space="preserve">The consideration transferred shall be measured at fair value on the acquisition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at face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Equity instruments: at fair value (stock price on the acquisition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Contingent consideration (earnouts): at fair value on the acquisition date, classified as a liability or equity based on settlement terms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Deferred payments: at present value using an appropriate discount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Previously held equity interest (step acquisition): remeasured at fair value with gain/loss recognized in earnings</w:t>
      </w:r>
    </w:p>
    <w:p>
      <w:pPr>
        <w:pStyle w:val="Heading2"/>
        <w:spacing w:after="150" w:before="300"/>
      </w:pPr>
      <w:r>
        <w:rPr>
          <w:rFonts w:ascii="Georgia" w:cs="Georgia" w:eastAsia="Georgia" w:hAnsi="Georgia"/>
          <w:b/>
          <w:bCs/>
          <w:color w:val="333333"/>
          <w:sz w:val="26"/>
          <w:szCs w:val="26"/>
        </w:rPr>
        <w:t xml:space="preserve">3.3 Identifiable Intangible Asset Recognition</w:t>
      </w:r>
    </w:p>
    <w:p>
      <w:pPr>
        <w:spacing w:after="150" w:before="0"/>
        <w:jc w:val="both"/>
      </w:pPr>
      <w:r>
        <w:rPr>
          <w:rFonts w:ascii="Calibri" w:cs="Calibri" w:eastAsia="Calibri" w:hAnsi="Calibri"/>
          <w:color w:val="333333"/>
          <w:sz w:val="22"/>
          <w:szCs w:val="22"/>
        </w:rPr>
        <w:t xml:space="preserve">[Company Name] shall identify and separately recognize intangible assets that meet the ASC 805 recognition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Intangible Asset Category</w:t>
            </w:r>
          </w:p>
        </w:tc>
        <w:tc>
          <w:tcPr>
            <w:tcW w:type="dxa" w:w="6160"/>
            <w:shd w:fill="0C0C0C" w:val="clear"/>
          </w:tcPr>
          <w:p>
            <w:pPr>
              <w:spacing w:after="60" w:before="60"/>
            </w:pPr>
            <w:r>
              <w:rPr>
                <w:rFonts w:ascii="Calibri" w:cs="Calibri" w:eastAsia="Calibri" w:hAnsi="Calibri"/>
                <w:b/>
                <w:bCs/>
                <w:color w:val="D4AF37"/>
                <w:sz w:val="20"/>
                <w:szCs w:val="20"/>
              </w:rPr>
              <w:t xml:space="preserve">Examples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Marketing-related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Trademarks, trade names, internet domain names, non-compete agreements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Customer-related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Customer relationships, customer lists, order backlog, customer contracts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Artistic-related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Copyrights, content libraries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Contract-based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Licensing agreements, franchise rights, favorable leases, employment contracts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Technology-based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Patented and unpatented technology, databases, trade secrets, software</w:t>
            </w:r>
          </w:p>
        </w:tc>
      </w:tr>
    </w:tbl>
    <w:p>
      <w:pPr>
        <w:spacing w:after="150" w:before="0"/>
        <w:jc w:val="both"/>
      </w:pPr>
      <w:r>
        <w:rPr>
          <w:rFonts w:ascii="Calibri" w:cs="Calibri" w:eastAsia="Calibri" w:hAnsi="Calibri"/>
          <w:color w:val="333333"/>
          <w:sz w:val="22"/>
          <w:szCs w:val="22"/>
        </w:rPr>
        <w:t xml:space="preserve">An intangible is recognized separately from goodwill if it is separable (capable of being sold, licensed, or transferred) or arises from a contractual or legal right, regardless of whether the acquirer intends to use it.</w:t>
      </w:r>
    </w:p>
    <w:p>
      <w:pPr>
        <w:pStyle w:val="Heading2"/>
        <w:spacing w:after="150" w:before="300"/>
      </w:pPr>
      <w:r>
        <w:rPr>
          <w:rFonts w:ascii="Georgia" w:cs="Georgia" w:eastAsia="Georgia" w:hAnsi="Georgia"/>
          <w:b/>
          <w:bCs/>
          <w:color w:val="333333"/>
          <w:sz w:val="26"/>
          <w:szCs w:val="26"/>
        </w:rPr>
        <w:t xml:space="preserve">3.4 Valuation Standards</w:t>
      </w:r>
    </w:p>
    <w:p>
      <w:pPr>
        <w:spacing w:after="150" w:before="0"/>
        <w:jc w:val="both"/>
      </w:pPr>
      <w:r>
        <w:rPr>
          <w:rFonts w:ascii="Calibri" w:cs="Calibri" w:eastAsia="Calibri" w:hAnsi="Calibri"/>
          <w:color w:val="333333"/>
          <w:sz w:val="22"/>
          <w:szCs w:val="22"/>
        </w:rPr>
        <w:t xml:space="preserve">[Company Name] shall engage an independent third-party valuation firm for all business combinations exceeding [$X] in total consideration. The valuation shall comply with ASC 820 (Fair Value Measurement) and applicable professional valuation standards (ASA, AICPA). Common valuation approaches: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Asset Type</w:t>
            </w:r>
          </w:p>
        </w:tc>
        <w:tc>
          <w:tcPr>
            <w:tcW w:type="dxa" w:w="6160"/>
            <w:shd w:fill="0C0C0C" w:val="clear"/>
          </w:tcPr>
          <w:p>
            <w:pPr>
              <w:spacing w:after="60" w:before="60"/>
            </w:pPr>
            <w:r>
              <w:rPr>
                <w:rFonts w:ascii="Calibri" w:cs="Calibri" w:eastAsia="Calibri" w:hAnsi="Calibri"/>
                <w:b/>
                <w:bCs/>
                <w:color w:val="D4AF37"/>
                <w:sz w:val="20"/>
                <w:szCs w:val="20"/>
              </w:rPr>
              <w:t xml:space="preserve">Primary Valuation Method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relationships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Multi-period excess earnings method (MPEEM)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Developed technology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Relief from royalty method or replacement cost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Trade names / trademarks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Relief from royalty method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Order backlog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Comparative income differential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Non-compete agreements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With-and-without method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Favorable leases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Present value of below-market rent savings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Tangible assets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Market approach or cost approach (replacement cost less depreciation)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Contingent consideration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Probability-weighted scenarios or Monte Carlo simulation</w:t>
            </w:r>
          </w:p>
        </w:tc>
      </w:tr>
    </w:tbl>
    <w:p>
      <w:pPr>
        <w:pStyle w:val="Heading2"/>
        <w:spacing w:after="150" w:before="300"/>
      </w:pPr>
      <w:r>
        <w:rPr>
          <w:rFonts w:ascii="Georgia" w:cs="Georgia" w:eastAsia="Georgia" w:hAnsi="Georgia"/>
          <w:b/>
          <w:bCs/>
          <w:color w:val="333333"/>
          <w:sz w:val="26"/>
          <w:szCs w:val="26"/>
        </w:rPr>
        <w:t xml:space="preserve">3.5 Measurement Period</w:t>
      </w:r>
    </w:p>
    <w:p>
      <w:pPr>
        <w:spacing w:after="150" w:before="0"/>
        <w:jc w:val="both"/>
      </w:pPr>
      <w:r>
        <w:rPr>
          <w:rFonts w:ascii="Calibri" w:cs="Calibri" w:eastAsia="Calibri" w:hAnsi="Calibri"/>
          <w:color w:val="333333"/>
          <w:sz w:val="22"/>
          <w:szCs w:val="22"/>
        </w:rPr>
        <w:t xml:space="preserve">The measurement period begins on the acquisition date and ends no later than one year after the acquisition date. During the measurement period: adjustments may be made to provisional PPA amounts when new information is obtained about facts and circumstances that existed as of the acquisition date, adjustments are recorded retrospectively (as if they had been recorded at the acquisition date), and financial statements for prior periods included in current-period filings shall be revised for measurement period adjustments. After the measurement period closes, adjustments are recognized in the period they are identified (not retrospectively).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the PPA process. Reviews valuation conclusions. Presents acquisition accounting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PPA execution. Coordinates with the valuation firm. Reviews and approves fair value determinations. Records acquisition entries.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Corp Dev / M&amp;A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deal terms and due diligence information. Supports the valuation firm with business context.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Valuation Firm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Performs independent valuations of intangible assets, contingent consideration, and other fair value determinations.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the tax basis of acquired assets. Advises on Section 338 elections. Determines deferred tax impacts of the PPA.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projections supporting intangible asset valuations. Models the earnings impact of acquisition accounting.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purchase agreement and working capital adjustment. Reviews contingent consideration terms.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the PPA, intangible asset valuations, and goodwill calculation. Evaluates the competence of the valuation firm.</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PPA Process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Phase</w:t>
            </w:r>
          </w:p>
        </w:tc>
        <w:tc>
          <w:tcPr>
            <w:tcW w:type="dxa" w:w="6160"/>
            <w:shd w:fill="0C0C0C" w:val="clear"/>
          </w:tcPr>
          <w:p>
            <w:pPr>
              <w:spacing w:after="60" w:before="60"/>
            </w:pPr>
            <w:r>
              <w:rPr>
                <w:rFonts w:ascii="Calibri" w:cs="Calibri" w:eastAsia="Calibri" w:hAnsi="Calibri"/>
                <w:b/>
                <w:bCs/>
                <w:color w:val="D4AF37"/>
                <w:sz w:val="20"/>
                <w:szCs w:val="20"/>
              </w:rPr>
              <w:t xml:space="preserve">Timeline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Preliminary PPA (for interim financial statements)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[45] days of the acquisition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Valuation firm engagement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Before or immediately after closing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Draft intangible asset valuations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[90] days of acquisition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Preliminary PPA recorded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 the first financial statements including the acquisition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Working capital adjustment finalized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purchase agreement (typically [60-90] days post-close)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Final intangible asset valuations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[6-9] months of acquisition date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Measurement period adjustments recorded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As information becomes available (within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Measurement period closed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12 months after the acquisition date</w:t>
            </w:r>
          </w:p>
        </w:tc>
      </w:tr>
    </w:tbl>
    <w:p>
      <w:pPr>
        <w:pStyle w:val="Heading2"/>
        <w:spacing w:after="150" w:before="300"/>
      </w:pPr>
      <w:r>
        <w:rPr>
          <w:rFonts w:ascii="Georgia" w:cs="Georgia" w:eastAsia="Georgia" w:hAnsi="Georgia"/>
          <w:b/>
          <w:bCs/>
          <w:color w:val="333333"/>
          <w:sz w:val="26"/>
          <w:szCs w:val="26"/>
        </w:rPr>
        <w:t xml:space="preserve">5.2 Preliminary PPA</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Controller compiles the acquisition-date balance sheet of the acquiree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Tangible assets and liabilities measured at fair value (or book value if approximately equal to fair value for current items)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Preliminary identification of intangible assets based on due diligence findings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Goodwill calculated as: consideration transferred - net identifiable assets = goodwill</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Deferred tax impact calculated: the PPA creates temporary differences between tax basis and book fair value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Preliminary PPA entries recorded; disclosed as provisional in the financial statements</w:t>
      </w:r>
    </w:p>
    <w:p>
      <w:pPr>
        <w:pStyle w:val="Heading2"/>
        <w:spacing w:after="150" w:before="300"/>
      </w:pPr>
      <w:r>
        <w:rPr>
          <w:rFonts w:ascii="Georgia" w:cs="Georgia" w:eastAsia="Georgia" w:hAnsi="Georgia"/>
          <w:b/>
          <w:bCs/>
          <w:color w:val="333333"/>
          <w:sz w:val="26"/>
          <w:szCs w:val="26"/>
        </w:rPr>
        <w:t xml:space="preserve">5.3 Intangible Asset Identification</w:t>
      </w:r>
    </w:p>
    <w:p>
      <w:pPr>
        <w:spacing w:after="150" w:before="0"/>
        <w:jc w:val="both"/>
      </w:pPr>
      <w:r>
        <w:rPr>
          <w:rFonts w:ascii="Calibri" w:cs="Calibri" w:eastAsia="Calibri" w:hAnsi="Calibri"/>
          <w:color w:val="333333"/>
          <w:sz w:val="22"/>
          <w:szCs w:val="22"/>
        </w:rPr>
        <w:t xml:space="preserve">The Controller shall work with the valuation firm to identify all intangible assets by reviewing: customer contracts and relationships (customer-related intangibles), proprietary technology, patents, and trade secrets (technology-based), brand names, trademarks, and domain names (marketing-related), existing order backlog and pipeline, favorable contracts (below-market leases, favorable supply agreements), non-compete and employment agreements, and licensing and franchise agreements. Each identified intangible shall be evaluated against the separability or contractual-legal criterion.</w:t>
      </w:r>
    </w:p>
    <w:p>
      <w:pPr>
        <w:pStyle w:val="Heading2"/>
        <w:spacing w:after="150" w:before="300"/>
      </w:pPr>
      <w:r>
        <w:rPr>
          <w:rFonts w:ascii="Georgia" w:cs="Georgia" w:eastAsia="Georgia" w:hAnsi="Georgia"/>
          <w:b/>
          <w:bCs/>
          <w:color w:val="333333"/>
          <w:sz w:val="26"/>
          <w:szCs w:val="26"/>
        </w:rPr>
        <w:t xml:space="preserve">5.4 Deferred Tax in PPA</w:t>
      </w:r>
    </w:p>
    <w:p>
      <w:pPr>
        <w:spacing w:after="150" w:before="0"/>
        <w:jc w:val="both"/>
      </w:pPr>
      <w:r>
        <w:rPr>
          <w:rFonts w:ascii="Calibri" w:cs="Calibri" w:eastAsia="Calibri" w:hAnsi="Calibri"/>
          <w:color w:val="333333"/>
          <w:sz w:val="22"/>
          <w:szCs w:val="22"/>
        </w:rPr>
        <w:t xml:space="preserve">The PPA creates temporary differences between the fair value of acquired assets (book basis) and their tax basis: assets written up to fair value above tax basis create a deferred tax liability, assets written down below tax basis create a deferred tax asset, and goodwill: if the acquisition is a stock deal, tax goodwill may differ from book goodwill. The deferred tax impact of the PPA is recorded as part of the PPA (it affects the amount of goodwill). The Controller and Tax shall coordinate to ensure the deferred tax calculation is accurate.</w:t>
      </w:r>
    </w:p>
    <w:p>
      <w:pPr>
        <w:pStyle w:val="Heading2"/>
        <w:spacing w:after="150" w:before="300"/>
      </w:pPr>
      <w:r>
        <w:rPr>
          <w:rFonts w:ascii="Georgia" w:cs="Georgia" w:eastAsia="Georgia" w:hAnsi="Georgia"/>
          <w:b/>
          <w:bCs/>
          <w:color w:val="333333"/>
          <w:sz w:val="26"/>
          <w:szCs w:val="26"/>
        </w:rPr>
        <w:t xml:space="preserve">5.5 Contingent Consideration</w:t>
      </w:r>
    </w:p>
    <w:p>
      <w:pPr>
        <w:spacing w:after="150" w:before="0"/>
        <w:jc w:val="both"/>
      </w:pPr>
      <w:r>
        <w:rPr>
          <w:rFonts w:ascii="Calibri" w:cs="Calibri" w:eastAsia="Calibri" w:hAnsi="Calibri"/>
          <w:color w:val="333333"/>
          <w:sz w:val="22"/>
          <w:szCs w:val="22"/>
        </w:rPr>
        <w:t xml:space="preserve">Contingent consideration (earnouts) shall be: measured at fair value on the acquisition date (typically using probability-weighted scenarios or Monte Carlo simulation), classified as a liability (if settled in cash or a variable number of shares) or equity (if settled in a fixed number of shares), remeasured at fair value each reporting date if classified as a liability (changes in fair value recognized in earnings), and not remeasured if classified as equity (settled within equity when resolved). The Controller shall review contingent consideration fair value quarterly and record adjustments.</w:t>
      </w:r>
    </w:p>
    <w:p>
      <w:pPr>
        <w:pStyle w:val="Heading2"/>
        <w:spacing w:after="150" w:before="300"/>
      </w:pPr>
      <w:r>
        <w:rPr>
          <w:rFonts w:ascii="Georgia" w:cs="Georgia" w:eastAsia="Georgia" w:hAnsi="Georgia"/>
          <w:b/>
          <w:bCs/>
          <w:color w:val="333333"/>
          <w:sz w:val="26"/>
          <w:szCs w:val="26"/>
        </w:rPr>
        <w:t xml:space="preserve">5.6 Measurement Period Adjustments</w:t>
      </w:r>
    </w:p>
    <w:p>
      <w:pPr>
        <w:spacing w:after="150" w:before="0"/>
        <w:jc w:val="both"/>
      </w:pPr>
      <w:r>
        <w:rPr>
          <w:rFonts w:ascii="Calibri" w:cs="Calibri" w:eastAsia="Calibri" w:hAnsi="Calibri"/>
          <w:color w:val="333333"/>
          <w:sz w:val="22"/>
          <w:szCs w:val="22"/>
        </w:rPr>
        <w:t xml:space="preserve">During the measurement period, adjustments are made when new information is obtained about facts that existed as of the acquisition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Working capital adjustment finalized (actual vs. estimated closing balance sheet)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return information adjusting the tax basis of acquired assets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Contingent liability identified that existed but was unknown at the acquisition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Valuation refinements based on additional information</w:t>
      </w:r>
    </w:p>
    <w:p>
      <w:pPr>
        <w:spacing w:after="150" w:before="0"/>
        <w:jc w:val="both"/>
      </w:pPr>
      <w:r>
        <w:rPr>
          <w:rFonts w:ascii="Calibri" w:cs="Calibri" w:eastAsia="Calibri" w:hAnsi="Calibri"/>
          <w:color w:val="333333"/>
          <w:sz w:val="22"/>
          <w:szCs w:val="22"/>
        </w:rPr>
        <w:t xml:space="preserve">Adjustments after the measurement period (new information about post-acquisition events) are recorded in current-period earnings, not as PPA adjustments.</w:t>
      </w:r>
    </w:p>
    <w:p>
      <w:pPr>
        <w:pStyle w:val="Heading2"/>
        <w:spacing w:after="150" w:before="300"/>
      </w:pPr>
      <w:r>
        <w:rPr>
          <w:rFonts w:ascii="Georgia" w:cs="Georgia" w:eastAsia="Georgia" w:hAnsi="Georgia"/>
          <w:b/>
          <w:bCs/>
          <w:color w:val="333333"/>
          <w:sz w:val="26"/>
          <w:szCs w:val="26"/>
        </w:rPr>
        <w:t xml:space="preserve">5.7 Acquisition Cost Accounting</w:t>
      </w:r>
    </w:p>
    <w:p>
      <w:pPr>
        <w:spacing w:after="150" w:before="0"/>
        <w:jc w:val="both"/>
      </w:pPr>
      <w:r>
        <w:rPr>
          <w:rFonts w:ascii="Calibri" w:cs="Calibri" w:eastAsia="Calibri" w:hAnsi="Calibri"/>
          <w:color w:val="333333"/>
          <w:sz w:val="22"/>
          <w:szCs w:val="22"/>
        </w:rPr>
        <w:t xml:space="preserve">Transaction costs (legal, advisory, accounting, due diligence) are: expensed as incurred per ASC 805 (not capitalized as part of the purchase price), recorded in M&amp;A or corporate development expense, and tracked by deal for management reporting and post-deal ROI analysis. The only exception: costs of issuing equity (stock issuance costs) are recorded as a reduction of equity per ASC 340.</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PPA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Preliminary PPA recorded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acquisitions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Valuation firm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acquisitions &gt; threshold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Intangible asset identification and useful life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External Auditor discussion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Final PPA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 + Audit Committee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Measurement period adjustment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$1M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Measurement period adjustment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Contingent consideration fair value update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Working capital adjustment settlement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Bargain purchase gain recognition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 External Auditor confirmation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If the preliminary PPA indicates a bargain purchase (negative goodwill), the Controller shall: reassess all acquired assets and assumed liabilities for completeness and accuracy, confirm the fair value of the consideration transferred, and only after re-evaluation, recognize the gain in earnings if the bargain purchase is confirmed. Acquisitions with contingent consideration exceeding [25%] of total consideration require enhanced quarterly fair value review. Measurement period adjustments made after the 10-Q or 10-K has been filed require evaluation of whether the adjustment is material enough to warrant an amendment.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Preliminary PPA completed within [45] days of acquisition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Final PPA completed within [9] months of acquisition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Measurement period closed at 12 months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contingent consideration fair value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goodwill and intangible impairment testing (per the Impairment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auditor review of all PPAs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Preliminary PPA 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[45]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Final PPA timeliness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[9] months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Measurement period adjustments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Minimized after first [6]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adjustments to PPA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material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Contingent consideration remeasured quarterly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Intangible asset useful lives documented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M&amp;A &amp; Corporate Development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Goodwill &amp; Intangible Impairment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Consolidation &amp; Elimination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805, Business Combinations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820, Fair Value Measurement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350, Intangibles — Goodwill and Other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740, Income Taxes (deferred tax in PPA)</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PPA Summary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Component</w:t>
            </w:r>
          </w:p>
        </w:tc>
        <w:tc>
          <w:tcPr>
            <w:tcW w:type="dxa" w:w="6160"/>
            <w:shd w:fill="0C0C0C" w:val="clear"/>
          </w:tcPr>
          <w:p>
            <w:pPr>
              <w:spacing w:after="60" w:before="60"/>
            </w:pPr>
            <w:r>
              <w:rPr>
                <w:rFonts w:ascii="Calibri" w:cs="Calibri" w:eastAsia="Calibri" w:hAnsi="Calibri"/>
                <w:b/>
                <w:bCs/>
                <w:color w:val="D4AF37"/>
                <w:sz w:val="20"/>
                <w:szCs w:val="20"/>
              </w:rPr>
              <w:t xml:space="preserve">Fair 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Consideration: Cash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Consideration: Equity issued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Consideration: Contingent (earnout)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consideration transferred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Tangible assets acquired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Identifiable intangible assets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Liabilities assumed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Deferred tax liability (net)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Net identifiable assets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Goodwill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Intangible Asset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Intangible Asset</w:t>
            </w:r>
          </w:p>
        </w:tc>
        <w:tc>
          <w:tcPr>
            <w:tcW w:type="dxa" w:w="6160"/>
            <w:shd w:fill="0C0C0C" w:val="clear"/>
          </w:tcPr>
          <w:p>
            <w:pPr>
              <w:spacing w:after="60" w:before="60"/>
            </w:pPr>
            <w:r>
              <w:rPr>
                <w:rFonts w:ascii="Calibri" w:cs="Calibri" w:eastAsia="Calibri" w:hAnsi="Calibri"/>
                <w:b/>
                <w:bCs/>
                <w:color w:val="D4AF37"/>
                <w:sz w:val="20"/>
                <w:szCs w:val="20"/>
              </w:rPr>
              <w:t xml:space="preserve">Fair 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relationships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Developed technology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Trade name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Order backlog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Non-compete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Purchase Price Allocation &amp; Acquisition Accounting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2026-07-13T17:40:00.873Z</dcterms:created>
  <dcterms:modified xsi:type="dcterms:W3CDTF">2026-07-13T17:40:00.873Z</dcterms:modified>
</cp:coreProperties>
</file>

<file path=docProps/custom.xml><?xml version="1.0" encoding="utf-8"?>
<Properties xmlns="http://schemas.openxmlformats.org/officeDocument/2006/custom-properties" xmlns:vt="http://schemas.openxmlformats.org/officeDocument/2006/docPropsVTypes"/>
</file>