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Whistleblower Award &amp; SEC Bounty Coordination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Whistleblower Award and SEC Bounty Coordination Policy establishes the procedures for how [Company Name] coordinates its internal whistleblower program with the SEC Whistleblower Program established under the Dodd-Frank Act. The policy ensures that internal reporting is encouraged, SEC bounty claims are handled appropriately, and [Company Name]'s investigation processes are not compromised by external reporting.</w:t>
      </w:r>
    </w:p>
    <w:p>
      <w:pPr>
        <w:spacing w:after="150" w:before="0"/>
        <w:jc w:val="both"/>
      </w:pPr>
      <w:r>
        <w:rPr>
          <w:rFonts w:ascii="Calibri" w:cs="Calibri" w:eastAsia="Calibri" w:hAnsi="Calibri"/>
          <w:color w:val="333333"/>
          <w:sz w:val="22"/>
          <w:szCs w:val="22"/>
        </w:rPr>
        <w:t xml:space="preserve">This policy applies to all situations where: an employee or contractor reports a concern through [Company Name]'s internal channels that could also qualify for an SEC whistleblower award, an employee or contractor files (or intends to file) a whistleblower complaint with the SEC, [Company Name] becomes aware that the SEC has received a whistleblower tip related to [Company Name], or the SEC initiates an investigation that may have originated from a whistleblower tip.</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Encourage internal reporting FIRST while respecting employees' legal right to report directly to the SEC</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whistleblowers from retaliation per Dodd-Frank Section 922 and SOX Section 806</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internal investigations with potential SEC proceedings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[Company Name]'s internal compliance program receives credit for self-reporting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the legal and financial implications of SEC whistleblower proceedings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confidentiality of investigations while meeting regulatory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SEC Whistleblower Program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Dodd-Frank program allowing individuals to receive 10-30% of SEC sanctions exceeding $1M for providing original information leading to a successful enforcement action.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Original Information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Information derived from independent knowledge or analysis, not already known to the SEC, and not exclusively from public sources.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Reporting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Reporting a concern through [Company Name]'s internal channels (ethics hotline, compliance, management, audit committee) before or instead of reporting to the SEC.</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120-Day Safe Harbor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Dodd-Frank provision allowing an individual who reports internally first to receive the same filing date with the SEC if they file within 120 days of internal reporting.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Anti-Retaliation Protection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Legal protection against termination, demotion, harassment, or other adverse employment actions taken because an individual reported a concern.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 Enforcement Action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formal legal proceeding brought by the SEC against a company or individual for securities law violations.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Voluntary Self-Report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company's proactive disclosure of potential violations to the SEC, which may result in reduced penalties.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Investigation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company's inquiry into alleged misconduct, conducted by Legal, Internal Audit, or an independent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Cooperation Credit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SEC's practice of reducing penalties for companies that cooperate with investigations by self-reporting, providing evidence, and remediating issues.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Clawback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recovery of incentive compensation from executives who benefited from conduct that led to a restatement or enforcement action.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Internal Reporting Encouraged</w:t>
      </w:r>
    </w:p>
    <w:p>
      <w:pPr>
        <w:spacing w:after="150" w:before="0"/>
        <w:jc w:val="both"/>
      </w:pPr>
      <w:r>
        <w:rPr>
          <w:rFonts w:ascii="Calibri" w:cs="Calibri" w:eastAsia="Calibri" w:hAnsi="Calibri"/>
          <w:color w:val="333333"/>
          <w:sz w:val="22"/>
          <w:szCs w:val="22"/>
        </w:rPr>
        <w:t xml:space="preserve">[Company Name] strongly encourages employees to report concerns INTERNALLY FIRST through: the confidential ethics hotline (24/7, anonymous option available), the Chief Compliance Officer or General Counsel, Internal Audit, any member of management, or the Audit Committee Chair (for concerns involving senior management). Employees who report internally first are protected by the Dodd-Frank 120-day safe harbor — they preserve their SEC filing date if they subsequently file with the SEC within 120 days. [Company Name] will not discourage, restrict, or impede employees from reporting to the SEC — doing so would violate federal law.</w:t>
      </w:r>
    </w:p>
    <w:p>
      <w:pPr>
        <w:pStyle w:val="Heading2"/>
        <w:spacing w:after="150" w:before="300"/>
      </w:pPr>
      <w:r>
        <w:rPr>
          <w:rFonts w:ascii="Georgia" w:cs="Georgia" w:eastAsia="Georgia" w:hAnsi="Georgia"/>
          <w:b/>
          <w:bCs/>
          <w:color w:val="333333"/>
          <w:sz w:val="26"/>
          <w:szCs w:val="26"/>
        </w:rPr>
        <w:t xml:space="preserve">3.2 Anti-Retaliation</w:t>
      </w:r>
    </w:p>
    <w:p>
      <w:pPr>
        <w:spacing w:after="150" w:before="0"/>
        <w:jc w:val="both"/>
      </w:pPr>
      <w:r>
        <w:rPr>
          <w:rFonts w:ascii="Calibri" w:cs="Calibri" w:eastAsia="Calibri" w:hAnsi="Calibri"/>
          <w:color w:val="333333"/>
          <w:sz w:val="22"/>
          <w:szCs w:val="22"/>
        </w:rPr>
        <w:t xml:space="preserve">[Company Name] strictly prohibits retaliation against any individual who: reports a concern internally, reports a concern to the SEC or other regulatory agency, participates in an investigation (internal or SEC), or refuses to participate in conduct that would violate securities laws. Retaliation includes termination, demotion, suspension, threats, harassment, discrimination, or any adverse change in employment terms. Reports of retaliation shall be investigated with the same rigor as the underlying complaint. Individuals found to have retaliated face disciplinary action up to and including termination.</w:t>
      </w:r>
    </w:p>
    <w:p>
      <w:pPr>
        <w:pStyle w:val="Heading2"/>
        <w:spacing w:after="150" w:before="300"/>
      </w:pPr>
      <w:r>
        <w:rPr>
          <w:rFonts w:ascii="Georgia" w:cs="Georgia" w:eastAsia="Georgia" w:hAnsi="Georgia"/>
          <w:b/>
          <w:bCs/>
          <w:color w:val="333333"/>
          <w:sz w:val="26"/>
          <w:szCs w:val="26"/>
        </w:rPr>
        <w:t xml:space="preserve">3.3 Confidentiality</w:t>
      </w:r>
    </w:p>
    <w:p>
      <w:pPr>
        <w:spacing w:after="150" w:before="0"/>
        <w:jc w:val="both"/>
      </w:pPr>
      <w:r>
        <w:rPr>
          <w:rFonts w:ascii="Calibri" w:cs="Calibri" w:eastAsia="Calibri" w:hAnsi="Calibri"/>
          <w:color w:val="333333"/>
          <w:sz w:val="22"/>
          <w:szCs w:val="22"/>
        </w:rPr>
        <w:t xml:space="preserve">The identity of individuals reporting concerns shall be protected to the maximum extent possible. Under the SEC program, the SEC is prohibited from disclosing the identity of a whistleblower without their consent. Internally, [Company Name] shall: limit knowledge of the reporter's identity to those with a need to know, conduct investigations without revealing the source of the allegation, and maintain investigation files with restricted access. Anonymous reporting is accepted through the ethics hotline.</w:t>
      </w:r>
    </w:p>
    <w:p>
      <w:pPr>
        <w:pStyle w:val="Heading2"/>
        <w:spacing w:after="150" w:before="300"/>
      </w:pPr>
      <w:r>
        <w:rPr>
          <w:rFonts w:ascii="Georgia" w:cs="Georgia" w:eastAsia="Georgia" w:hAnsi="Georgia"/>
          <w:b/>
          <w:bCs/>
          <w:color w:val="333333"/>
          <w:sz w:val="26"/>
          <w:szCs w:val="26"/>
        </w:rPr>
        <w:t xml:space="preserve">3.4 Investigation Coordination</w:t>
      </w:r>
    </w:p>
    <w:p>
      <w:pPr>
        <w:spacing w:after="150" w:before="0"/>
        <w:jc w:val="both"/>
      </w:pPr>
      <w:r>
        <w:rPr>
          <w:rFonts w:ascii="Calibri" w:cs="Calibri" w:eastAsia="Calibri" w:hAnsi="Calibri"/>
          <w:color w:val="333333"/>
          <w:sz w:val="22"/>
          <w:szCs w:val="22"/>
        </w:rPr>
        <w:t xml:space="preserve">When [Company Name] becomes aware that a concern reported internally may also be the subject of an SEC whistleblower complaint: the General Counsel shall evaluate whether [Company Name]'s internal investigation should be accelerated to demonstrate self-policing, whether voluntary self-disclosure to the SEC is appropriate (for cooperation credit), whether legal hold and evidence preservation obligations are triggered, and how to communicate with the SEC while protecting attorney-client privilege.</w:t>
      </w:r>
    </w:p>
    <w:p>
      <w:pPr>
        <w:pStyle w:val="Heading2"/>
        <w:spacing w:after="150" w:before="300"/>
      </w:pPr>
      <w:r>
        <w:rPr>
          <w:rFonts w:ascii="Georgia" w:cs="Georgia" w:eastAsia="Georgia" w:hAnsi="Georgia"/>
          <w:b/>
          <w:bCs/>
          <w:color w:val="333333"/>
          <w:sz w:val="26"/>
          <w:szCs w:val="26"/>
        </w:rPr>
        <w:t xml:space="preserve">3.5 Financial Implications</w:t>
      </w:r>
    </w:p>
    <w:p>
      <w:pPr>
        <w:spacing w:after="150" w:before="0"/>
        <w:jc w:val="both"/>
      </w:pPr>
      <w:r>
        <w:rPr>
          <w:rFonts w:ascii="Calibri" w:cs="Calibri" w:eastAsia="Calibri" w:hAnsi="Calibri"/>
          <w:color w:val="333333"/>
          <w:sz w:val="22"/>
          <w:szCs w:val="22"/>
        </w:rPr>
        <w:t xml:space="preserve">The Controller shall evaluate the financial implications of whistleblower-related matters: contingent liability accrual under ASC 450 if an SEC enforcement action is probable and the amount is estimable, disclosure of the investigation in SEC filings if material, clawback assessment for executive compensation under SOX Section 304 and the company's clawback policy, and insurance coverage evaluation under D&amp;O and EPLI policies.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 / Chief Compliance Officer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whistleblower program. Oversees investigations. Coordinates with outside counsel on SEC matters. Evaluates self-disclosure.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the financial implications of whistleblower matters. Approves contingent liability accruals. Reports to the Audit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Evaluates the financial impact of investigations and potential enforcement actions. Reviews clawback assessments.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Receives and reviews whistleblower reports involving senior management. Oversees investigation independence. Reviews SEC enforcement matters.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anti-retaliation compliance. Documents employment actions during and after investigations to demonstrate no retaliation.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Conducts or supports investigations as assigned. Provides independent assessment. Maintains investigation documentation.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Outside Securities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SEC whistleblower program implications. Manages voluntary self-disclosure. Represents [Company Name] in SEC proceedings.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Ethics Hotline Provider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Operates the anonymous reporting channel. Provides intake reports. Maintains reporter confidentiality.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Internal Report Handling</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Concern reported through internal channels (hotline, compliance, management)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Report logged in the case management system within [24] hours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General Counsel (or designee) triages the report: assess severity and credibility, determine if the report could qualify under the SEC whistleblower program, assign investigation resources (Internal Audit, outside counsel, or special committee)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Investigation conducted per the Fraud Prevention &amp; Whistleblower Policy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Throughout the investigation: preserve evidence, maintain confidentiality, and protect the reporter from retaliation</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Investigation findings reported to the Audit Committee</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If securities law violations are identified: evaluate voluntary self-disclosure to the SEC</w:t>
      </w:r>
    </w:p>
    <w:p>
      <w:pPr>
        <w:pStyle w:val="Heading2"/>
        <w:spacing w:after="150" w:before="300"/>
      </w:pPr>
      <w:r>
        <w:rPr>
          <w:rFonts w:ascii="Georgia" w:cs="Georgia" w:eastAsia="Georgia" w:hAnsi="Georgia"/>
          <w:b/>
          <w:bCs/>
          <w:color w:val="333333"/>
          <w:sz w:val="26"/>
          <w:szCs w:val="26"/>
        </w:rPr>
        <w:t xml:space="preserve">5.2 SEC Whistleblower Tip Notification</w:t>
      </w:r>
    </w:p>
    <w:p>
      <w:pPr>
        <w:spacing w:after="150" w:before="0"/>
        <w:jc w:val="both"/>
      </w:pPr>
      <w:r>
        <w:rPr>
          <w:rFonts w:ascii="Calibri" w:cs="Calibri" w:eastAsia="Calibri" w:hAnsi="Calibri"/>
          <w:color w:val="333333"/>
          <w:sz w:val="22"/>
          <w:szCs w:val="22"/>
        </w:rPr>
        <w:t xml:space="preserve">If [Company Name] learns that the SEC has received a whistleblower tip related to [Company Name] (through an SEC inquiry, subpoena, or investigation notice): General Counsel notifies the CFO and Audit Committee immediately, outside securities counsel is engaged, legal hold is implemented for all potentially relevant documents, the internal investigation is accelerated (if one is already underway) or initiated, and [Company Name] evaluates cooperation opportunities to mitigate potential penalties.</w:t>
      </w:r>
    </w:p>
    <w:p>
      <w:pPr>
        <w:pStyle w:val="Heading2"/>
        <w:spacing w:after="150" w:before="300"/>
      </w:pPr>
      <w:r>
        <w:rPr>
          <w:rFonts w:ascii="Georgia" w:cs="Georgia" w:eastAsia="Georgia" w:hAnsi="Georgia"/>
          <w:b/>
          <w:bCs/>
          <w:color w:val="333333"/>
          <w:sz w:val="26"/>
          <w:szCs w:val="26"/>
        </w:rPr>
        <w:t xml:space="preserve">5.3 Voluntary Self-Disclosure Decision</w:t>
      </w:r>
    </w:p>
    <w:p>
      <w:pPr>
        <w:spacing w:after="150" w:before="0"/>
        <w:jc w:val="both"/>
      </w:pPr>
      <w:r>
        <w:rPr>
          <w:rFonts w:ascii="Calibri" w:cs="Calibri" w:eastAsia="Calibri" w:hAnsi="Calibri"/>
          <w:color w:val="333333"/>
          <w:sz w:val="22"/>
          <w:szCs w:val="22"/>
        </w:rPr>
        <w:t xml:space="preserve">The General Counsel and outside counsel shall evaluate whether voluntary self-disclosure to the SEC is advisable, considering: the severity of the potential violation, whether [Company Name] self-discovered the issue (through internal reporting or audit), the strength of [Company Name]'s compliance program, the likelihood of SEC discovery through other means, the potential for cooperation credit to reduce penalties, and the financial and reputational impact of disclosure vs. non-disclosure. The self-disclosure decision requires CFO and Audit Committee approval.</w:t>
      </w:r>
    </w:p>
    <w:p>
      <w:pPr>
        <w:pStyle w:val="Heading2"/>
        <w:spacing w:after="150" w:before="300"/>
      </w:pPr>
      <w:r>
        <w:rPr>
          <w:rFonts w:ascii="Georgia" w:cs="Georgia" w:eastAsia="Georgia" w:hAnsi="Georgia"/>
          <w:b/>
          <w:bCs/>
          <w:color w:val="333333"/>
          <w:sz w:val="26"/>
          <w:szCs w:val="26"/>
        </w:rPr>
        <w:t xml:space="preserve">5.4 Retaliation Monitoring</w:t>
      </w:r>
    </w:p>
    <w:p>
      <w:pPr>
        <w:spacing w:after="150" w:before="0"/>
        <w:jc w:val="both"/>
      </w:pPr>
      <w:r>
        <w:rPr>
          <w:rFonts w:ascii="Calibri" w:cs="Calibri" w:eastAsia="Calibri" w:hAnsi="Calibri"/>
          <w:color w:val="333333"/>
          <w:sz w:val="22"/>
          <w:szCs w:val="22"/>
        </w:rPr>
        <w:t xml:space="preserve">HR shall implement enhanced monitoring for employees who have filed internal complaints: document all employment decisions (performance reviews, compensation changes, role changes) with detailed business justification independent of the complaint, compare treatment of the reporting employee to similarly situated employees, maintain monitoring for [24] months following the complaint resolution, and any adverse employment action for a reporting employee during the monitoring period requires General Counsel pre-approval.</w:t>
      </w:r>
    </w:p>
    <w:p>
      <w:pPr>
        <w:pStyle w:val="Heading2"/>
        <w:spacing w:after="150" w:before="300"/>
      </w:pPr>
      <w:r>
        <w:rPr>
          <w:rFonts w:ascii="Georgia" w:cs="Georgia" w:eastAsia="Georgia" w:hAnsi="Georgia"/>
          <w:b/>
          <w:bCs/>
          <w:color w:val="333333"/>
          <w:sz w:val="26"/>
          <w:szCs w:val="26"/>
        </w:rPr>
        <w:t xml:space="preserve">5.5 Clawback Assessment</w:t>
      </w:r>
    </w:p>
    <w:p>
      <w:pPr>
        <w:spacing w:after="150" w:before="0"/>
        <w:jc w:val="both"/>
      </w:pPr>
      <w:r>
        <w:rPr>
          <w:rFonts w:ascii="Calibri" w:cs="Calibri" w:eastAsia="Calibri" w:hAnsi="Calibri"/>
          <w:color w:val="333333"/>
          <w:sz w:val="22"/>
          <w:szCs w:val="22"/>
        </w:rPr>
        <w:t xml:space="preserve">If a whistleblower matter results in a financial restatement or SEC enforcement action: the Controller shall calculate the compensation subject to clawback under SOX Section 304 and the company's clawback policy, the Compensation Committee shall review and approve the clawback determination, recovery efforts shall be initiated per the clawback policy terms, and the clawback shall be disclosed in the proxy statement as required by SEC rules.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Whistleblower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Internal investigation initiation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credible reports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Investigation involving senior management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Audit Committee (with independent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Voluntary self-disclosure to SEC</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 + CFO + 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Engagement of outside securities counsel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SEC-related matters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General Counsel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Contingent liability accrual (SEC matter)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 + 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Anti-retaliation monitoring initiation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reporting employees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HR + General Counsel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Clawback determination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Compensation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Settlement with SEC</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Audit Committee + Board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[Company Name] shall NEVER: require employees to waive their right to file an SEC whistleblower complaint, require employees to report internally before going to the SEC (internal reporting is encouraged but cannot be mandated as a condition of employment), take any action to impede an employee from communicating with the SEC, or include confidentiality provisions in separation agreements that would restrict SEC communication. Any action that could be perceived as impeding SEC whistleblower communication shall be immediately escalated to the General Counsel and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whistleblower report summary to the Audit Committee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anti-retaliation compliance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separation agreement language for SEC communication restrictions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whistleblower program awareness training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program benchmarking (report rates per 100 employees vs. industry)</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Whistleblower reports investigated within 48 hours of receipt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Retaliation incidents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Investigation completion within [60] days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Anti-retaliation training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SEC enforcement actions from unreported internal issues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(indicates internal program effectiveness)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Employee awareness of reporting channels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Measured annually via survey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Contingent Liability &amp; Litigation Reserve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Dodd-Frank Act Section 922 (SEC Whistleblower Program)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 806 (Whistleblower Protections)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 304 (Clawback of CEO/CFO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 21F (Whistleblower Rules)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Internal Reporting Channels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Channel</w:t>
            </w:r>
          </w:p>
        </w:tc>
        <w:tc>
          <w:tcPr>
            <w:tcW w:type="dxa" w:w="6160"/>
            <w:shd w:fill="0C0C0C" w:val="clear"/>
          </w:tcPr>
          <w:p>
            <w:pPr>
              <w:spacing w:after="60" w:before="60"/>
            </w:pPr>
            <w:r>
              <w:rPr>
                <w:rFonts w:ascii="Calibri" w:cs="Calibri" w:eastAsia="Calibri" w:hAnsi="Calibri"/>
                <w:b/>
                <w:bCs/>
                <w:color w:val="D4AF37"/>
                <w:sz w:val="20"/>
                <w:szCs w:val="20"/>
              </w:rPr>
              <w:t xml:space="preserve">Details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Ethics Hotline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[Phone number] — 24/7, anonymous, multilingual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Web Portal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[URL] — anonymous, file upload capability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Chief Compliance Officer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email, phone]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email, phone]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email, phone]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Committee Chair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[Contact through General Counsel or Board Secretary]</w:t>
            </w:r>
          </w:p>
        </w:tc>
      </w:tr>
    </w:tbl>
    <w:p>
      <w:pPr>
        <w:pStyle w:val="Heading2"/>
        <w:spacing w:after="150" w:before="300"/>
      </w:pPr>
      <w:r>
        <w:rPr>
          <w:rFonts w:ascii="Georgia" w:cs="Georgia" w:eastAsia="Georgia" w:hAnsi="Georgia"/>
          <w:b/>
          <w:bCs/>
          <w:color w:val="333333"/>
          <w:sz w:val="26"/>
          <w:szCs w:val="26"/>
        </w:rPr>
        <w:t xml:space="preserve">Appendix B — 120-Day Safe Harbor Timeline</w:t>
      </w:r>
    </w:p>
    <w:p>
      <w:pPr>
        <w:spacing w:after="150" w:before="0"/>
        <w:jc w:val="both"/>
      </w:pPr>
      <w:r>
        <w:rPr>
          <w:rFonts w:ascii="Calibri" w:cs="Calibri" w:eastAsia="Calibri" w:hAnsi="Calibri"/>
          <w:color w:val="333333"/>
          <w:sz w:val="22"/>
          <w:szCs w:val="22"/>
        </w:rPr>
        <w:t xml:space="preserve">Day 0: Employee reports internally through [Company Name] channels. Days 1-120: [Company Name] investigates and takes corrective action. Day 120: Employee may file with the SEC and receive the same filing date as Day 0, preserving priority for the whistleblower award. Best practice: [Company Name] should complete its investigation well before Day 120 to demonstrate effective self-policing.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Whistleblower Award &amp; SEC Bounty Coordination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2026-07-13T17:33:01.214Z</dcterms:created>
  <dcterms:modified xsi:type="dcterms:W3CDTF">2026-07-13T17:33:01.214Z</dcterms:modified>
</cp:coreProperties>
</file>

<file path=docProps/custom.xml><?xml version="1.0" encoding="utf-8"?>
<Properties xmlns="http://schemas.openxmlformats.org/officeDocument/2006/custom-properties" xmlns:vt="http://schemas.openxmlformats.org/officeDocument/2006/docPropsVTypes"/>
</file>