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SEC Comment Letter Response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SEC Comment Letter Response Policy establishes the standards, governance, and procedures for receiving, triaging, drafting responses to, and tracking SEC Division of Corporation Finance comment letters. The policy ensures that responses are timely, accurate, complete, and properly coordinated across all relevant functions.</w:t>
      </w:r>
    </w:p>
    <w:p>
      <w:pPr>
        <w:spacing w:after="150" w:before="0"/>
        <w:jc w:val="both"/>
      </w:pPr>
      <w:r>
        <w:rPr>
          <w:rFonts w:ascii="Calibri" w:cs="Calibri" w:eastAsia="Calibri" w:hAnsi="Calibri"/>
          <w:color w:val="333333"/>
          <w:sz w:val="22"/>
          <w:szCs w:val="22"/>
        </w:rPr>
        <w:t xml:space="preserve">This policy applies to all SEC staff comments received in connection with: periodic report reviews (10-K, 10-Q), registration statement reviews (S-1, S-3, S-4), proxy statement reviews, 8-K reviews, and any other SEC staff inquiry or comment.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Respond to all SEC comment letters within the requested timeframe (typically [10] business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response drafting across Finance, Legal, and business functions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responses are factually accurate and legally sound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comment letter interactions to resolution with minimal filing amendments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Track open comments and monitor for patterns indicating disclosure deficiencies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Learn from comment letter interactions to improve future disclosures proactively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Comment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letter from the SEC Division of Corporation Finance staff raising questions or requesting additional information about a company's SEC filing.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Division of Corporation Finance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SEC division responsible for reviewing public company filings to ensure compliance with disclosure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Response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[Company Name]'s written response to each comment in the SEC comment letter, addressing the staff's questions and concerns.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No-Action Relief</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Informal guidance from the SEC staff that they will not recommend enforcement action based on [Company Name]'s proposed course of 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Filing Amendment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revision to a previously filed document (10-K/A, S-1/A) to address SEC staff comments.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Confidential Treatment Request (CTR)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request to the SEC to keep certain information in a filing confidential from public disclosure.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EDGAR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Electronic Data Gathering, Analysis, and Retrieval system — the SEC's online filing platform.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Tandy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letter acknowledging that [Company Name] is responsible for the adequacy and accuracy of its disclosures, regardless of SEC staff comments.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Selective Review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SEC's process of selectively reviewing filings of public companies at least once every three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Pre-Filing Review</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voluntary submission to the SEC staff for comment before a filing becomes effective (common for registration statements).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Comment Letter Governance</w:t>
      </w:r>
    </w:p>
    <w:p>
      <w:pPr>
        <w:spacing w:after="150" w:before="0"/>
        <w:jc w:val="both"/>
      </w:pPr>
      <w:r>
        <w:rPr>
          <w:rFonts w:ascii="Calibri" w:cs="Calibri" w:eastAsia="Calibri" w:hAnsi="Calibri"/>
          <w:color w:val="333333"/>
          <w:sz w:val="22"/>
          <w:szCs w:val="22"/>
        </w:rPr>
        <w:t xml:space="preserve">The General Counsel (or SEC Reporting Manager) shall serve as the single point of contact for all SEC comment letter communications. Comment letters shall be treated as high-priority matters requiring immediate attention. The CFO shall be notified within [24] hours of receiving a comment letter. The Audit Committee shall be informed of comment letter receipt and provided with the response before submission.</w:t>
      </w:r>
    </w:p>
    <w:p>
      <w:pPr>
        <w:pStyle w:val="Heading2"/>
        <w:spacing w:after="150" w:before="300"/>
      </w:pPr>
      <w:r>
        <w:rPr>
          <w:rFonts w:ascii="Georgia" w:cs="Georgia" w:eastAsia="Georgia" w:hAnsi="Georgia"/>
          <w:b/>
          <w:bCs/>
          <w:color w:val="333333"/>
          <w:sz w:val="26"/>
          <w:szCs w:val="26"/>
        </w:rPr>
        <w:t xml:space="preserve">3.2 Response Standards</w:t>
      </w:r>
    </w:p>
    <w:p>
      <w:pPr>
        <w:spacing w:after="150" w:before="0"/>
        <w:jc w:val="both"/>
      </w:pPr>
      <w:r>
        <w:rPr>
          <w:rFonts w:ascii="Calibri" w:cs="Calibri" w:eastAsia="Calibri" w:hAnsi="Calibri"/>
          <w:color w:val="333333"/>
          <w:sz w:val="22"/>
          <w:szCs w:val="22"/>
        </w:rPr>
        <w:t xml:space="preserve">Responses to SEC comment letters shall: address every comment individually and completely, provide the specific information requested — do not be evasive or overly general, include proposed revised disclosure language when the staff requests enhanced disclosure, be consistent with all public filings and prior SEC correspondence, be reviewed by outside securities counsel before submission, and be submitted within the timeframe requested by the staff (typically [10] business days, with extensions requested in advance if needed).</w:t>
      </w:r>
    </w:p>
    <w:p>
      <w:pPr>
        <w:pStyle w:val="Heading2"/>
        <w:spacing w:after="150" w:before="300"/>
      </w:pPr>
      <w:r>
        <w:rPr>
          <w:rFonts w:ascii="Georgia" w:cs="Georgia" w:eastAsia="Georgia" w:hAnsi="Georgia"/>
          <w:b/>
          <w:bCs/>
          <w:color w:val="333333"/>
          <w:sz w:val="26"/>
          <w:szCs w:val="26"/>
        </w:rPr>
        <w:t xml:space="preserve">3.3 Confidentiality</w:t>
      </w:r>
    </w:p>
    <w:p>
      <w:pPr>
        <w:spacing w:after="150" w:before="0"/>
        <w:jc w:val="both"/>
      </w:pPr>
      <w:r>
        <w:rPr>
          <w:rFonts w:ascii="Calibri" w:cs="Calibri" w:eastAsia="Calibri" w:hAnsi="Calibri"/>
          <w:color w:val="333333"/>
          <w:sz w:val="22"/>
          <w:szCs w:val="22"/>
        </w:rPr>
        <w:t xml:space="preserve">SEC comment letters and responses become public on EDGAR approximately [20] business days after the review is complete. Until that time, comment letters and responses are non-public. [Company Name] shall: treat pending comment letter correspondence as confidential, evaluate whether the subject matter of comments constitutes MNPI (if so, consider whether a trading blackout is appropriate), and prepare for public availability of the correspondence by ensuring responses will withstand public scrutiny.</w:t>
      </w:r>
    </w:p>
    <w:p>
      <w:pPr>
        <w:pStyle w:val="Heading2"/>
        <w:spacing w:after="150" w:before="300"/>
      </w:pPr>
      <w:r>
        <w:rPr>
          <w:rFonts w:ascii="Georgia" w:cs="Georgia" w:eastAsia="Georgia" w:hAnsi="Georgia"/>
          <w:b/>
          <w:bCs/>
          <w:color w:val="333333"/>
          <w:sz w:val="26"/>
          <w:szCs w:val="26"/>
        </w:rPr>
        <w:t xml:space="preserve">3.4 Disclosure Enhancement</w:t>
      </w:r>
    </w:p>
    <w:p>
      <w:pPr>
        <w:spacing w:after="150" w:before="0"/>
        <w:jc w:val="both"/>
      </w:pPr>
      <w:r>
        <w:rPr>
          <w:rFonts w:ascii="Calibri" w:cs="Calibri" w:eastAsia="Calibri" w:hAnsi="Calibri"/>
          <w:color w:val="333333"/>
          <w:sz w:val="22"/>
          <w:szCs w:val="22"/>
        </w:rPr>
        <w:t xml:space="preserve">If SEC comments identify disclosure deficiencies, [Company Name] shall: enhance disclosures in future filings as committed in the response, file amendments if the staff requires retroactive correction, track all disclosure commitments from comment letter responses, and incorporate lessons learned into the disclosure review process for future filings.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and approves final response letters. Discusses significant comments with the Audit Committee. Authorizes disclosure commitments.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Drafts responses to accounting and financial reporting comments. Reviews proposed disclosure language. Coordinates with the external auditor.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response process. Coordinates with outside securities counsel. Reviews all responses for legal accuracy. Files responses on EDGAR.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 Reporting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Triages comments to responsible parties. Tracks response deadlines. Manages the response coordination timeline. Maintains the comment letter log.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significant comments and proposed responses. Evaluates whether comments indicate a broader disclosure issue.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data supporting responses to MD&amp;A and forward-looking statement comments.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Securities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draft responses. Advises on legal positions. Manages pre-filing communications with SEC staff.</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Consulted on comments related to accounting policies, estimates, and ICFR. Reviews proposed disclosure changes for GAAP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Informed of comment letter receipt and resolution. Reviews responses before submission for significant matters.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Comment Letter Receipt and Triage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Comment letter received via EDGAR correspondence or mail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SEC Reporting Manager logs the letter in the comment letter tracking system: date received, filing reviewed, number of comments, response deadline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Comments distributed to responsible parties within [24] hours: accounting comments to the Controller, legal comments to the General Counsel, business comments to the relevant business unit, and MD&amp;A comments to FP&amp;A</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notified of receipt and comment summary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Response timeline established: target completion of draft responses [5] business days before the submission deadline</w:t>
      </w:r>
    </w:p>
    <w:p>
      <w:pPr>
        <w:pStyle w:val="Heading2"/>
        <w:spacing w:after="150" w:before="300"/>
      </w:pPr>
      <w:r>
        <w:rPr>
          <w:rFonts w:ascii="Georgia" w:cs="Georgia" w:eastAsia="Georgia" w:hAnsi="Georgia"/>
          <w:b/>
          <w:bCs/>
          <w:color w:val="333333"/>
          <w:sz w:val="26"/>
          <w:szCs w:val="26"/>
        </w:rPr>
        <w:t xml:space="preserve">5.2 Response Drafting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Each responsible party drafts their response to assigned comments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Responses should: restate the comment for context, directly answer the question asked, provide supporting facts and analysis, include proposed revised disclosure language (when requested or advisable), and reference the applicable GAAP or SEC rule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SEC Reporting Manager compiles all draft responses into a single response letter</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reviews all accounting responses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General Counsel reviews the complete letter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Outside securities counsel reviews and provides comments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CFO reviews and approves the final letter</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Audit Committee informed (for significant comments)</w:t>
      </w:r>
    </w:p>
    <w:p>
      <w:pPr>
        <w:pStyle w:val="Heading2"/>
        <w:spacing w:after="150" w:before="300"/>
      </w:pPr>
      <w:r>
        <w:rPr>
          <w:rFonts w:ascii="Georgia" w:cs="Georgia" w:eastAsia="Georgia" w:hAnsi="Georgia"/>
          <w:b/>
          <w:bCs/>
          <w:color w:val="333333"/>
          <w:sz w:val="26"/>
          <w:szCs w:val="26"/>
        </w:rPr>
        <w:t xml:space="preserve">5.3 Response Submission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Final response letter formatted per SEC correspondence standards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Filed on EDGAR as correspondence (not as an amendment)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If amendments are required: amended filing prepared, reviewed, and filed separately</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Tandy letter acknowledgment included when requested by staff</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Submission confirmed and logged in the tracking system</w:t>
      </w:r>
    </w:p>
    <w:p>
      <w:pPr>
        <w:pStyle w:val="Heading2"/>
        <w:spacing w:after="150" w:before="300"/>
      </w:pPr>
      <w:r>
        <w:rPr>
          <w:rFonts w:ascii="Georgia" w:cs="Georgia" w:eastAsia="Georgia" w:hAnsi="Georgia"/>
          <w:b/>
          <w:bCs/>
          <w:color w:val="333333"/>
          <w:sz w:val="26"/>
          <w:szCs w:val="26"/>
        </w:rPr>
        <w:t xml:space="preserve">5.4 Follow-Up Comments</w:t>
      </w:r>
    </w:p>
    <w:p>
      <w:pPr>
        <w:spacing w:after="150" w:before="0"/>
        <w:jc w:val="both"/>
      </w:pPr>
      <w:r>
        <w:rPr>
          <w:rFonts w:ascii="Calibri" w:cs="Calibri" w:eastAsia="Calibri" w:hAnsi="Calibri"/>
          <w:color w:val="333333"/>
          <w:sz w:val="22"/>
          <w:szCs w:val="22"/>
        </w:rPr>
        <w:t xml:space="preserve">The SEC staff may issue additional rounds of comments. Each round follows the same process. Persistent comments on the same topic may indicate: the staff disagrees with [Company Name]'s position (consider whether to modify the position or request a conference call with the staff), the response was not sufficiently clear (revise and be more specific), or a fundamental disclosure deficiency exists (evaluate whether a filing amendment or restatement is necessary). Conference calls with the SEC staff may be requested through outside counsel to discuss and resolve persistent comments.</w:t>
      </w:r>
    </w:p>
    <w:p>
      <w:pPr>
        <w:pStyle w:val="Heading2"/>
        <w:spacing w:after="150" w:before="300"/>
      </w:pPr>
      <w:r>
        <w:rPr>
          <w:rFonts w:ascii="Georgia" w:cs="Georgia" w:eastAsia="Georgia" w:hAnsi="Georgia"/>
          <w:b/>
          <w:bCs/>
          <w:color w:val="333333"/>
          <w:sz w:val="26"/>
          <w:szCs w:val="26"/>
        </w:rPr>
        <w:t xml:space="preserve">5.5 Comment Letter Log</w:t>
      </w:r>
    </w:p>
    <w:p>
      <w:pPr>
        <w:spacing w:after="150" w:before="0"/>
        <w:jc w:val="both"/>
      </w:pPr>
      <w:r>
        <w:rPr>
          <w:rFonts w:ascii="Calibri" w:cs="Calibri" w:eastAsia="Calibri" w:hAnsi="Calibri"/>
          <w:color w:val="333333"/>
          <w:sz w:val="22"/>
          <w:szCs w:val="22"/>
        </w:rPr>
        <w:t xml:space="preserve">The SEC Reporting Manager shall maintain a log of all comment letter interactions: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Date received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comment letter was received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Filing reviewed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10-K, 10-Q, S-1, proxy, etc.</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Number of comments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comments in the letter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Key topics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Summary of comment themes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Response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response was filed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Rounds of comments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Number of rounds before resolution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Resolution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review was completed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Amendments required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Yes/No; description if yes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commitments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Commitments made for future filings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Lessons learned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Improvements for future disclosures</w:t>
            </w:r>
          </w:p>
        </w:tc>
      </w:tr>
    </w:tbl>
    <w:p>
      <w:pPr>
        <w:pStyle w:val="Heading2"/>
        <w:spacing w:after="150" w:before="300"/>
      </w:pPr>
      <w:r>
        <w:rPr>
          <w:rFonts w:ascii="Georgia" w:cs="Georgia" w:eastAsia="Georgia" w:hAnsi="Georgia"/>
          <w:b/>
          <w:bCs/>
          <w:color w:val="333333"/>
          <w:sz w:val="26"/>
          <w:szCs w:val="26"/>
        </w:rPr>
        <w:t xml:space="preserve">5.6 Proactive Comment Prevention</w:t>
      </w:r>
    </w:p>
    <w:p>
      <w:pPr>
        <w:spacing w:after="150" w:before="0"/>
        <w:jc w:val="both"/>
      </w:pPr>
      <w:r>
        <w:rPr>
          <w:rFonts w:ascii="Calibri" w:cs="Calibri" w:eastAsia="Calibri" w:hAnsi="Calibri"/>
          <w:color w:val="333333"/>
          <w:sz w:val="22"/>
          <w:szCs w:val="22"/>
        </w:rPr>
        <w:t xml:space="preserve">To reduce the frequency and severity of SEC comments: the Disclosure Committee shall review SEC comment letter trends (industry-specific and accounting topic-specific) published by the SEC and Big Four firms, disclosures shall be benchmarked against peer company filings, new accounting standards shall be implemented with enhanced disclosure from the outset, and MD&amp;A shall provide genuine insight (not boilerplate) into the company's results and prospects.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Comment Letter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Response letter submission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Disclosure commitment (future filing enhancement)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Filing amendment decision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General Counsel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Conference call with SEC staff</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Position change in response to staff feedback</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Outside counsel engagement for SEC matters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Extension request (additional response time)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Comment letters raising potential restatement issues shall be immediately escalated to the CFO, Audit Committee, and external auditor. If the SEC staff indicates potential enforcement referral, the matter shall be escalated to the full Board with outside counsel guidance. Response deadlines should be met; extensions are available but should be requested before the deadline, not after.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Comment letter response deadline tracking (100% on time)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commitment fulfillment tracking (verify future filings include committed enhancements)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comment letter trends (SEC focus areas)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Post-resolution debrief for each comment letter interaction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Responses filed within deadline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Rounds of comments to resolution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 target [1-2] rounds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Filing amendments required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Minimize; zero restatements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commitments fulfilled in next filing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Comment letters received per year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 (fewer indicates improving disclosure quality)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&amp; Audit Committee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Division of Corporation Finance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Financial Reporting Manual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EDGAR Filing Manual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Response Letter Format</w:t>
      </w:r>
    </w:p>
    <w:p>
      <w:pPr>
        <w:spacing w:after="150" w:before="0"/>
        <w:jc w:val="both"/>
      </w:pPr>
      <w:r>
        <w:rPr>
          <w:rFonts w:ascii="Calibri" w:cs="Calibri" w:eastAsia="Calibri" w:hAnsi="Calibri"/>
          <w:color w:val="333333"/>
          <w:sz w:val="22"/>
          <w:szCs w:val="22"/>
        </w:rPr>
        <w:t xml:space="preserve">Response letters follow a standard format: company letterhead, addressed to the reviewing staff member by name, each SEC comment restated in bold, response immediately following each comment, proposed revised disclosure language in an indented block (where applicable), Tandy letter language (when requested), and signatory: CFO or General Counsel.</w:t>
      </w:r>
    </w:p>
    <w:p>
      <w:pPr>
        <w:pStyle w:val="Heading2"/>
        <w:spacing w:after="150" w:before="300"/>
      </w:pPr>
      <w:r>
        <w:rPr>
          <w:rFonts w:ascii="Georgia" w:cs="Georgia" w:eastAsia="Georgia" w:hAnsi="Georgia"/>
          <w:b/>
          <w:bCs/>
          <w:color w:val="333333"/>
          <w:sz w:val="26"/>
          <w:szCs w:val="26"/>
        </w:rPr>
        <w:t xml:space="preserve">Appendix B — Common SEC Comment Themes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multiple performance obligations, variable consideration, principal vs. agent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Non-GAAP measures: prominence, reconciliation, usefulness explanation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Critical accounting estimates: sensitivity disclosure, methodology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Segment reporting: basis for segment determination, aggregation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MD&amp;A: known trends, capital resources, results analysis depth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Goodwill impairment: headroom disclosure, assumptions, sensitivity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Income taxes: rate reconciliation, valuation allowance, indefinite reinvestment assertion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SEC Comment Letter Response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2026-07-13T17:33:01.164Z</dcterms:created>
  <dcterms:modified xsi:type="dcterms:W3CDTF">2026-07-13T17:33:01.164Z</dcterms:modified>
</cp:coreProperties>
</file>

<file path=docProps/custom.xml><?xml version="1.0" encoding="utf-8"?>
<Properties xmlns="http://schemas.openxmlformats.org/officeDocument/2006/custom-properties" xmlns:vt="http://schemas.openxmlformats.org/officeDocument/2006/docPropsVTypes"/>
</file>