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Unclaimed Property &amp; Escheatment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Unclaimed Property and Escheatment Policy establishes the standards, procedures, and controls governing [Company Name]'s compliance with state and international unclaimed property laws. The policy ensures that dormant property is identified, due diligence is performed, and unclaimed property is reported and remitted to the appropriate jurisdictions in compliance with the Uniform Unclaimed Property Act and state-specific statutes.</w:t>
      </w:r>
    </w:p>
    <w:p>
      <w:pPr>
        <w:spacing w:after="150" w:before="0"/>
        <w:jc w:val="both"/>
      </w:pPr>
      <w:r>
        <w:rPr>
          <w:rFonts w:ascii="Calibri" w:cs="Calibri" w:eastAsia="Calibri" w:hAnsi="Calibri"/>
          <w:color w:val="333333"/>
          <w:sz w:val="22"/>
          <w:szCs w:val="22"/>
        </w:rPr>
        <w:t xml:space="preserve">This policy applies to all forms of property that may become subject to escheatment including: outstanding checks (vendor, payroll, refund, dividend), customer credits and overpayments, uncashed rebate payments, unredeemed gift cards and stored-value instruments, dormant customer deposits, unused trade credits and vendor credits, abandoned safe deposit box contents, unclaimed insurance proceeds, and any other intangible personal property held for another party.</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all property types subject to unclaimed property laws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Perform required due diligence before reporting property to the state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File unclaimed property reports and remit funds by statutory deadlines in all applicable jurisdictions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escheatment exposure through proactive outreach to property owners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records supporting compliance for the required retention period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Avoid penalties and interest from late or incomplete unclaimed property reporting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Unclaimed Property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Intangible personal property held by [Company Name] (the holder) for the benefit of another party (the owner) that has remained unclaimed for the statutory dormancy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Escheatment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legal process by which unclaimed property is transferred (escheated) to the state.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Holder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entity in possession of property belonging to another party — [Company Name] in this context.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Owner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or entity entitled to the property (vendor, customer, employee, shareholder).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Dormancy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period of inactivity after which property is presumed abandoned and must be reported (varies by state and property type, typically [1-5]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Due Diligence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notification requirements that must be satisfied before property is reported as unclaimed (typically a letter to the owner's last known address).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Negative Report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report filed with a state indicating that [Company Name] has no unclaimed property to report for the period (required by some states).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Holder Report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annual report filed with each state listing all unclaimed property being escheated, with owner information.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Voluntary Disclosure Agreement (VDA)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program offered by many states allowing holders to come into compliance for past reporting failures with reduced or eliminated penalties.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Assessment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state-initiated examination of [Company Name]'s records to identify unreported unclaimed property (states may audit back [10-15+] years).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Property Identification</w:t>
      </w:r>
    </w:p>
    <w:p>
      <w:pPr>
        <w:spacing w:after="150" w:before="0"/>
        <w:jc w:val="both"/>
      </w:pPr>
      <w:r>
        <w:rPr>
          <w:rFonts w:ascii="Calibri" w:cs="Calibri" w:eastAsia="Calibri" w:hAnsi="Calibri"/>
          <w:color w:val="333333"/>
          <w:sz w:val="22"/>
          <w:szCs w:val="22"/>
        </w:rPr>
        <w:t xml:space="preserve">[Company Name] shall identify all property types subject to unclaimed property laws. Common property types and typical dormancy periods: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Property Type</w:t>
            </w:r>
          </w:p>
        </w:tc>
        <w:tc>
          <w:tcPr>
            <w:tcW w:type="dxa" w:w="6160"/>
            <w:shd w:fill="0C0C0C" w:val="clear"/>
          </w:tcPr>
          <w:p>
            <w:pPr>
              <w:spacing w:after="60" w:before="60"/>
            </w:pPr>
            <w:r>
              <w:rPr>
                <w:rFonts w:ascii="Calibri" w:cs="Calibri" w:eastAsia="Calibri" w:hAnsi="Calibri"/>
                <w:b/>
                <w:bCs/>
                <w:color w:val="D4AF37"/>
                <w:sz w:val="20"/>
                <w:szCs w:val="20"/>
              </w:rPr>
              <w:t xml:space="preserve">Typical Dormancy Period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Outstanding payroll checks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[1-3] years (varies by state)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Outstanding vendor / AP checks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credit balances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Uncashed dividend checks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Gift cards and stored value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[3-5] years (some states exempt from escheatment)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Uncashed refund checks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deposits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Insurance claim payments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Uncashed commission checks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[1-3] years</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Dormancy periods vary by state. [Company Name] shall apply the dormancy period of the owner's last known address state (or the state of incorporation if the address is unknown, per the Texas v. New Jersey rule).</w:t>
      </w:r>
    </w:p>
    <w:p>
      <w:pPr>
        <w:pStyle w:val="Heading2"/>
        <w:spacing w:after="150" w:before="300"/>
      </w:pPr>
      <w:r>
        <w:rPr>
          <w:rFonts w:ascii="Georgia" w:cs="Georgia" w:eastAsia="Georgia" w:hAnsi="Georgia"/>
          <w:b/>
          <w:bCs/>
          <w:color w:val="333333"/>
          <w:sz w:val="26"/>
          <w:szCs w:val="26"/>
        </w:rPr>
        <w:t xml:space="preserve">3.2 Due Diligence Requirements</w:t>
      </w:r>
    </w:p>
    <w:p>
      <w:pPr>
        <w:spacing w:after="150" w:before="0"/>
        <w:jc w:val="both"/>
      </w:pPr>
      <w:r>
        <w:rPr>
          <w:rFonts w:ascii="Calibri" w:cs="Calibri" w:eastAsia="Calibri" w:hAnsi="Calibri"/>
          <w:color w:val="333333"/>
          <w:sz w:val="22"/>
          <w:szCs w:val="22"/>
        </w:rPr>
        <w:t xml:space="preserve">Before reporting property as unclaimed, [Company Name] shall perform due diligence as required by each state's law. Common requirements include: sending a written notice to the owner's last known address by first-class mail, typically [60-120] days before the reporting deadline, stating the amount of property, the date it will be escheated, and how to claim it, including contact information for [Company Name]'s escheatment team, and retaining proof of mailing for audit purposes. Some states require certified mail for amounts above a threshold. Due diligence letters may result in owner contact, allowing the property to be returned before escheatment.</w:t>
      </w:r>
    </w:p>
    <w:p>
      <w:pPr>
        <w:pStyle w:val="Heading2"/>
        <w:spacing w:after="150" w:before="300"/>
      </w:pPr>
      <w:r>
        <w:rPr>
          <w:rFonts w:ascii="Georgia" w:cs="Georgia" w:eastAsia="Georgia" w:hAnsi="Georgia"/>
          <w:b/>
          <w:bCs/>
          <w:color w:val="333333"/>
          <w:sz w:val="26"/>
          <w:szCs w:val="26"/>
        </w:rPr>
        <w:t xml:space="preserve">3.3 Reporting and Remittance</w:t>
      </w:r>
    </w:p>
    <w:p>
      <w:pPr>
        <w:spacing w:after="150" w:before="0"/>
        <w:jc w:val="both"/>
      </w:pPr>
      <w:r>
        <w:rPr>
          <w:rFonts w:ascii="Calibri" w:cs="Calibri" w:eastAsia="Calibri" w:hAnsi="Calibri"/>
          <w:color w:val="333333"/>
          <w:sz w:val="22"/>
          <w:szCs w:val="22"/>
        </w:rPr>
        <w:t xml:space="preserve">[Company Name] shall file holder reports and remit unclaimed property to each applicable state by the statutory deadline. Reporting deadlines vary by state (common deadlines: March 1, May 1, November 1). Reports shall be filed electronically where required. Remittance shall accompany the report. Negative reports shall be filed in states that require them, even when [Company Name] has no property to report.</w:t>
      </w:r>
    </w:p>
    <w:p>
      <w:pPr>
        <w:pStyle w:val="Heading2"/>
        <w:spacing w:after="150" w:before="300"/>
      </w:pPr>
      <w:r>
        <w:rPr>
          <w:rFonts w:ascii="Georgia" w:cs="Georgia" w:eastAsia="Georgia" w:hAnsi="Georgia"/>
          <w:b/>
          <w:bCs/>
          <w:color w:val="333333"/>
          <w:sz w:val="26"/>
          <w:szCs w:val="26"/>
        </w:rPr>
        <w:t xml:space="preserve">3.4 Record Retention</w:t>
      </w:r>
    </w:p>
    <w:p>
      <w:pPr>
        <w:spacing w:after="150" w:before="0"/>
        <w:jc w:val="both"/>
      </w:pPr>
      <w:r>
        <w:rPr>
          <w:rFonts w:ascii="Calibri" w:cs="Calibri" w:eastAsia="Calibri" w:hAnsi="Calibri"/>
          <w:color w:val="333333"/>
          <w:sz w:val="22"/>
          <w:szCs w:val="22"/>
        </w:rPr>
        <w:t xml:space="preserve">Records supporting unclaimed property compliance shall be retained for: the dormancy period plus [7] years (to cover potential state audit lookback periods), or as long as required by the most aggressive state's statute of limitations. Records include: outstanding check registers, customer credit reports, due diligence letter copies, holder reports filed, and remittance confirmations.</w:t>
      </w:r>
    </w:p>
    <w:p>
      <w:pPr>
        <w:pStyle w:val="Heading2"/>
        <w:spacing w:after="150" w:before="300"/>
      </w:pPr>
      <w:r>
        <w:rPr>
          <w:rFonts w:ascii="Georgia" w:cs="Georgia" w:eastAsia="Georgia" w:hAnsi="Georgia"/>
          <w:b/>
          <w:bCs/>
          <w:color w:val="333333"/>
          <w:sz w:val="26"/>
          <w:szCs w:val="26"/>
        </w:rPr>
        <w:t xml:space="preserve">3.5 Proactive Owner Contact</w:t>
      </w:r>
    </w:p>
    <w:p>
      <w:pPr>
        <w:spacing w:after="150" w:before="0"/>
        <w:jc w:val="both"/>
      </w:pPr>
      <w:r>
        <w:rPr>
          <w:rFonts w:ascii="Calibri" w:cs="Calibri" w:eastAsia="Calibri" w:hAnsi="Calibri"/>
          <w:color w:val="333333"/>
          <w:sz w:val="22"/>
          <w:szCs w:val="22"/>
        </w:rPr>
        <w:t xml:space="preserve">[Company Name] shall make reasonable efforts to reunite property with its owners BEFORE the property becomes escheatment-eligible: quarterly review of outstanding checks approaching [6] months old, reissuance or ACH conversion offered to payees of outstanding checks, customer credit balances communicated to account managers for resolution, and payroll checks returned undeliverable followed up through HR.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unclaimed property compliance program. Approves the annual escheatment filing. Reviews compliance status.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Escheatment Coordinator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day-to-day escheatment compliance. Identifies dormant property. Performs due diligence. Prepares and files reports.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Monitors outstanding AP checks. Attempts to reissue or resolve stale checks. Provides data for escheatment analysis.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Payroll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Monitors outstanding payroll checks. Coordinates with HR to contact employees. Provides data for escheatment analysis.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Monitors customer credits and deposits. Coordinates with Sales to resolve credits. Provides data for escheatment analysis.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Monitors outstanding dividend checks and refund payments. Manages the escheatment bank account.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Advises on state-specific escheatment rules and dormancy periods. Manages VDA programs if applicable. Supports audit defense.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Advises on compliance obligations. Manages state audit responses. Negotiates VDA terms.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Escheatment Service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compliance software, due diligence mailing services, electronic filing, and audit support (if outsourced).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Escheatment Cycle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Month</w:t>
            </w:r>
          </w:p>
        </w:tc>
        <w:tc>
          <w:tcPr>
            <w:tcW w:type="dxa" w:w="6160"/>
            <w:shd w:fill="0C0C0C" w:val="clear"/>
          </w:tcPr>
          <w:p>
            <w:pPr>
              <w:spacing w:after="60" w:before="60"/>
            </w:pPr>
            <w:r>
              <w:rPr>
                <w:rFonts w:ascii="Calibri" w:cs="Calibri" w:eastAsia="Calibri" w:hAnsi="Calibri"/>
                <w:b/>
                <w:bCs/>
                <w:color w:val="D4AF37"/>
                <w:sz w:val="20"/>
                <w:szCs w:val="20"/>
              </w:rPr>
              <w:t xml:space="preserve">Activity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January-February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Identify all dormant property across all property types as of the prior year-end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March-April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Perform due diligence: mail notification letters to owners at last known address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May-June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Process owner responses: reissue payments, apply credits, update records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July-August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 holder reports for states with fall deadlines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September-October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File reports and remit funds for fall-deadline states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November-December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 and file reports for states with spring deadlines (some states)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Ongoing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Monitor outstanding items quarterly; proactive owner outreach</w:t>
            </w:r>
          </w:p>
        </w:tc>
      </w:tr>
    </w:tbl>
    <w:p>
      <w:pPr>
        <w:pStyle w:val="Heading2"/>
        <w:spacing w:after="150" w:before="300"/>
      </w:pPr>
      <w:r>
        <w:rPr>
          <w:rFonts w:ascii="Georgia" w:cs="Georgia" w:eastAsia="Georgia" w:hAnsi="Georgia"/>
          <w:b/>
          <w:bCs/>
          <w:color w:val="333333"/>
          <w:sz w:val="26"/>
          <w:szCs w:val="26"/>
        </w:rPr>
        <w:t xml:space="preserve">5.2 Property Identification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Escheatment Coordinator pulls aging reports from all source systems: outstanding check register (AP, payroll, treasury), customer credit balance report (AR), gift card liability report, customer deposit aging report, and vendor credit aging report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Items exceeding the applicable dormancy period are flagged as potentially escheatment-eligible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Owner address is verified (last known address determines the reporting state)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Items with unknown owner addresses are reportable to [Company Name]'s state of incorporation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Escheatment-eligible items compiled into the due diligence and reporting lists</w:t>
      </w:r>
    </w:p>
    <w:p>
      <w:pPr>
        <w:pStyle w:val="Heading2"/>
        <w:spacing w:after="150" w:before="300"/>
      </w:pPr>
      <w:r>
        <w:rPr>
          <w:rFonts w:ascii="Georgia" w:cs="Georgia" w:eastAsia="Georgia" w:hAnsi="Georgia"/>
          <w:b/>
          <w:bCs/>
          <w:color w:val="333333"/>
          <w:sz w:val="26"/>
          <w:szCs w:val="26"/>
        </w:rPr>
        <w:t xml:space="preserve">5.3 Due Diligence Execution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Due diligence letters generated for each property owner (per state-specific template and requirements)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Letters mailed via first-class mail (certified for amounts above state-specific thresholds)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Proof of mailing documented and retained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Response window monitored ([60-120] days per state)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Responses processed: property returned to owner (removed from escheatment list) or no response (property remains on escheatment list)</w:t>
      </w:r>
    </w:p>
    <w:p>
      <w:pPr>
        <w:pStyle w:val="Heading2"/>
        <w:spacing w:after="150" w:before="300"/>
      </w:pPr>
      <w:r>
        <w:rPr>
          <w:rFonts w:ascii="Georgia" w:cs="Georgia" w:eastAsia="Georgia" w:hAnsi="Georgia"/>
          <w:b/>
          <w:bCs/>
          <w:color w:val="333333"/>
          <w:sz w:val="26"/>
          <w:szCs w:val="26"/>
        </w:rPr>
        <w:t xml:space="preserve">5.4 Reporting and Remittance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Holder reports prepared in each state's required format (most states accept NAUPA standard format)</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Reports reviewed by the Escheatment Coordinator and approved by the Controller</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Reports filed electronically (where accepted) or mailed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Remittance processed: check, wire, or ACH to each state's unclaimed property division</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Filing confirmations and remittance receipts retained</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Escheated property removed from [Company Name]'s books: Dr. Outstanding Check Liability (or Customer Credit) / Cr. Cash</w:t>
      </w:r>
    </w:p>
    <w:p>
      <w:pPr>
        <w:pStyle w:val="Heading2"/>
        <w:spacing w:after="150" w:before="300"/>
      </w:pPr>
      <w:r>
        <w:rPr>
          <w:rFonts w:ascii="Georgia" w:cs="Georgia" w:eastAsia="Georgia" w:hAnsi="Georgia"/>
          <w:b/>
          <w:bCs/>
          <w:color w:val="333333"/>
          <w:sz w:val="26"/>
          <w:szCs w:val="26"/>
        </w:rPr>
        <w:t xml:space="preserve">5.5 State Audit Response</w:t>
      </w:r>
    </w:p>
    <w:p>
      <w:pPr>
        <w:spacing w:after="150" w:before="0"/>
        <w:jc w:val="both"/>
      </w:pPr>
      <w:r>
        <w:rPr>
          <w:rFonts w:ascii="Calibri" w:cs="Calibri" w:eastAsia="Calibri" w:hAnsi="Calibri"/>
          <w:color w:val="333333"/>
          <w:sz w:val="22"/>
          <w:szCs w:val="22"/>
        </w:rPr>
        <w:t xml:space="preserve">If [Company Name] receives a state unclaimed property audit notice: Legal is notified immediately, the Escheatment Coordinator and Tax coordinate the response, a scope letter is negotiated (limiting the audit period and property types), records are gathered and provided per the audit schedule, estimated assessments are reviewed for accuracy and challenged where appropriate, and the Controller evaluates the financial impact (accrual under ASC 450 if an assessment is probable and estimable). States may use estimation techniques for periods where records are unavailable, often resulting in inflated assessments. [Company Name] shall maintain records for the maximum lookback period to avoid estimation.</w:t>
      </w:r>
    </w:p>
    <w:p>
      <w:pPr>
        <w:pStyle w:val="Heading2"/>
        <w:spacing w:after="150" w:before="300"/>
      </w:pPr>
      <w:r>
        <w:rPr>
          <w:rFonts w:ascii="Georgia" w:cs="Georgia" w:eastAsia="Georgia" w:hAnsi="Georgia"/>
          <w:b/>
          <w:bCs/>
          <w:color w:val="333333"/>
          <w:sz w:val="26"/>
          <w:szCs w:val="26"/>
        </w:rPr>
        <w:t xml:space="preserve">5.6 Voluntary Disclosure</w:t>
      </w:r>
    </w:p>
    <w:p>
      <w:pPr>
        <w:spacing w:after="150" w:before="0"/>
        <w:jc w:val="both"/>
      </w:pPr>
      <w:r>
        <w:rPr>
          <w:rFonts w:ascii="Calibri" w:cs="Calibri" w:eastAsia="Calibri" w:hAnsi="Calibri"/>
          <w:color w:val="333333"/>
          <w:sz w:val="22"/>
          <w:szCs w:val="22"/>
        </w:rPr>
        <w:t xml:space="preserve">If [Company Name] identifies past non-compliance with unclaimed property laws (prior years not filed or property types not reported): Legal evaluates whether a VDA is appropriate (most states offer reduced or waived penalties through VDA programs), the VDA application is filed before a state audit is initiated (VDAs are typically unavailable once an audit begins), and compliance is achieved through the VDA process with minimal penalty exposure.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Escheatment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Annual holder report filing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states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Escheatment Coordinator prepares; Controller approves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Due diligence letter distribution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Escheatment Coordinator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Property removed from escheatment list (owner claimed)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Escheatment Coordinator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VDA program participation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Legal + Tax + 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State audit response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Legal + Escheatment Coordinator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Audit settlement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Escheatment accrual (ASC 450)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material amounts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Negative report filing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required states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Escheatment Coordinator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Gift cards in states that specifically exempt gift cards from escheatment shall be documented and excluded from reporting. States with ambiguous laws regarding the escheatability of specific property types shall be evaluated by Legal with outside counsel support if needed. If a state audit notice is received, Legal and the CFO shall be notified within [48] hours. Late filing penalties assessed by states shall be escalated to the Controller and CFO with a remediation plan.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outstanding check and credit aging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escheatment identification and due diligence cycle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holder report filing in all applicable states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record retention compliance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State filing deadline tracking (zero late filings)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Holder reports filed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states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Due diligence letters mailed on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Owner response rate (property returned before escheatment)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Maximize; track trend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States with negative report requirement met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Penalties for late filing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assessments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Minimize through proactive compliance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Deposit &amp; Prepayment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Record Retention &amp; Document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Uniform Unclaimed Property Act (2016 Revised)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State-specific unclaimed property statutes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Texas v. New Jersey, 379 U.S. 674 (1965) (priority rules)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Delaware v. Pennsylvania, 507 U.S. 490 (1993)</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State Filing Deadline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State</w:t>
            </w:r>
          </w:p>
        </w:tc>
        <w:tc>
          <w:tcPr>
            <w:tcW w:type="dxa" w:w="6160"/>
            <w:shd w:fill="0C0C0C" w:val="clear"/>
          </w:tcPr>
          <w:p>
            <w:pPr>
              <w:spacing w:after="60" w:before="60"/>
            </w:pPr>
            <w:r>
              <w:rPr>
                <w:rFonts w:ascii="Calibri" w:cs="Calibri" w:eastAsia="Calibri" w:hAnsi="Calibri"/>
                <w:b/>
                <w:bCs/>
                <w:color w:val="D4AF37"/>
                <w:sz w:val="20"/>
                <w:szCs w:val="20"/>
              </w:rPr>
              <w:t xml:space="preserve">Filing Deadline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Delaware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March 1</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California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November 1</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New York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March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Texas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November 1</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Pennsylvania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April 15</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This is a summary. The complete state-by-state matrix is maintained by the Escheatment Coordinator.</w:t>
      </w:r>
    </w:p>
    <w:p>
      <w:pPr>
        <w:pStyle w:val="Heading2"/>
        <w:spacing w:after="150" w:before="300"/>
      </w:pPr>
      <w:r>
        <w:rPr>
          <w:rFonts w:ascii="Georgia" w:cs="Georgia" w:eastAsia="Georgia" w:hAnsi="Georgia"/>
          <w:b/>
          <w:bCs/>
          <w:color w:val="333333"/>
          <w:sz w:val="26"/>
          <w:szCs w:val="26"/>
        </w:rPr>
        <w:t xml:space="preserve">Appendix B — Due Diligence Letter Template</w:t>
      </w:r>
    </w:p>
    <w:p>
      <w:pPr>
        <w:spacing w:after="150" w:before="0"/>
        <w:jc w:val="both"/>
      </w:pPr>
      <w:r>
        <w:rPr>
          <w:rFonts w:ascii="Calibri" w:cs="Calibri" w:eastAsia="Calibri" w:hAnsi="Calibri"/>
          <w:color w:val="333333"/>
          <w:sz w:val="22"/>
          <w:szCs w:val="22"/>
        </w:rPr>
        <w:t xml:space="preserve">The due diligence letter includes: [Company Name] contact information, property description and amount, the date the property will be reported to the state if unclaimed, instructions for the owner to claim the property, and a response deadline.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Unclaimed Property &amp; Escheatment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2026-07-13T17:33:01.031Z</dcterms:created>
  <dcterms:modified xsi:type="dcterms:W3CDTF">2026-07-13T17:33:01.031Z</dcterms:modified>
</cp:coreProperties>
</file>

<file path=docProps/custom.xml><?xml version="1.0" encoding="utf-8"?>
<Properties xmlns="http://schemas.openxmlformats.org/officeDocument/2006/custom-properties" xmlns:vt="http://schemas.openxmlformats.org/officeDocument/2006/docPropsVTypes"/>
</file>