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Export Control &amp; Trade Compliance (Finance)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Export Control and Trade Compliance Policy establishes the standards, procedures, and financial controls governing [Company Name]'s compliance with US and international export control laws, trade sanctions, and customs regulations. The policy focuses on the financial implications of trade compliance — denied party screening in AP and AR, customs duty management, export license tracking, and the financial penalties associated with violations.</w:t>
      </w:r>
    </w:p>
    <w:p>
      <w:pPr>
        <w:spacing w:after="150" w:before="0"/>
        <w:jc w:val="both"/>
      </w:pPr>
      <w:r>
        <w:rPr>
          <w:rFonts w:ascii="Calibri" w:cs="Calibri" w:eastAsia="Calibri" w:hAnsi="Calibri"/>
          <w:color w:val="333333"/>
          <w:sz w:val="22"/>
          <w:szCs w:val="22"/>
        </w:rPr>
        <w:t xml:space="preserve">This policy applies to all cross-border transactions involving: the export of goods, technology, software, or technical data, deemed exports (transfer of controlled technology to foreign nationals in the US), re-exports from one foreign country to another, import of goods and materials, and any transaction involving restricted parties or embargoed destinations.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Prevent violations of Export Administration Regulations (EAR) and International Traffic in Arms Regulations (ITAR)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Screen all transaction counterparties against denied party lists before shipment or payment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Properly classify products and technology for export control purposes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Manage customs duties and tariffs to optimize total landed cost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accurate records supporting trade compliance for the required retention period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Quantify and disclose trade compliance risks in the financial statements when material</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EAR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Export Administration Regulations — administered by the Bureau of Industry and Security (BIS), controlling the export of dual-use items.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ITAR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International Traffic in Arms Regulations — administered by the Directorate of Defense Trade Controls (DDTC), controlling the export of defense articles and services.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ECCN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Export Control Classification Number — the alphanumeric code classifying a product under the EAR for export control purposes.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Denied Party Screening</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process of checking transaction counterparties (customers, vendors, freight forwarders, end users) against government-maintained restricted party lists.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Denied Party List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Government-maintained lists of individuals, entities, and countries with which transactions are restricted or prohibited (Entity List, SDN List, Denied Persons List, Unverified List).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Export License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government-issued authorization to export controlled items to a specific end user and destination.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Deemed Export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transfer of controlled technology or source code to a foreign national within the United States, treated as an export to that person's home country.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Harmonized Tariff Schedule (HTS)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classification system used to determine the customs duty rate for imported goods.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Customs Duty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tax imposed on goods imported into a country, calculated based on the HTS classification and the value of the goods.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Voluntary Self-Disclosure (VSD)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proactive disclosure to BIS or DDTC of a potential export control violation, which typically results in reduced penalties.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Denied Party Screening</w:t>
      </w:r>
    </w:p>
    <w:p>
      <w:pPr>
        <w:spacing w:after="150" w:before="0"/>
        <w:jc w:val="both"/>
      </w:pPr>
      <w:r>
        <w:rPr>
          <w:rFonts w:ascii="Calibri" w:cs="Calibri" w:eastAsia="Calibri" w:hAnsi="Calibri"/>
          <w:color w:val="333333"/>
          <w:sz w:val="22"/>
          <w:szCs w:val="22"/>
        </w:rPr>
        <w:t xml:space="preserve">[Company Name] shall screen all transaction counterparties against restricted party lists before: shipping goods internationally, providing technology or software to foreign nationals, processing payments to international vendors or agents, and onboarding new international customers. Screening shall be automated through [screening software] integrated with the ERP, CRM, and AP systems. Positive matches (hits) shall be reviewed by the Trade Compliance Officer within [24] hours. True matches result in transaction denial and reporting per the applicable regulation.</w:t>
      </w:r>
    </w:p>
    <w:p>
      <w:pPr>
        <w:pStyle w:val="Heading2"/>
        <w:spacing w:after="150" w:before="300"/>
      </w:pPr>
      <w:r>
        <w:rPr>
          <w:rFonts w:ascii="Georgia" w:cs="Georgia" w:eastAsia="Georgia" w:hAnsi="Georgia"/>
          <w:b/>
          <w:bCs/>
          <w:color w:val="333333"/>
          <w:sz w:val="26"/>
          <w:szCs w:val="26"/>
        </w:rPr>
        <w:t xml:space="preserve">3.2 Export Classification</w:t>
      </w:r>
    </w:p>
    <w:p>
      <w:pPr>
        <w:spacing w:after="150" w:before="0"/>
        <w:jc w:val="both"/>
      </w:pPr>
      <w:r>
        <w:rPr>
          <w:rFonts w:ascii="Calibri" w:cs="Calibri" w:eastAsia="Calibri" w:hAnsi="Calibri"/>
          <w:color w:val="333333"/>
          <w:sz w:val="22"/>
          <w:szCs w:val="22"/>
        </w:rPr>
        <w:t xml:space="preserve">All products, technology, and software shall be classified for export control purposes: EAR classification (ECCN or EAR99) for dual-use items, ITAR classification (USML category) for defense articles, and classification determinations documented and maintained in the product master file. Unclassified items shall not be exported. Classification shall be reviewed when products are modified or new products are introduced.</w:t>
      </w:r>
    </w:p>
    <w:p>
      <w:pPr>
        <w:pStyle w:val="Heading2"/>
        <w:spacing w:after="150" w:before="300"/>
      </w:pPr>
      <w:r>
        <w:rPr>
          <w:rFonts w:ascii="Georgia" w:cs="Georgia" w:eastAsia="Georgia" w:hAnsi="Georgia"/>
          <w:b/>
          <w:bCs/>
          <w:color w:val="333333"/>
          <w:sz w:val="26"/>
          <w:szCs w:val="26"/>
        </w:rPr>
        <w:t xml:space="preserve">3.3 Customs and Tariff Management</w:t>
      </w:r>
    </w:p>
    <w:p>
      <w:pPr>
        <w:spacing w:after="150" w:before="0"/>
        <w:jc w:val="both"/>
      </w:pPr>
      <w:r>
        <w:rPr>
          <w:rFonts w:ascii="Calibri" w:cs="Calibri" w:eastAsia="Calibri" w:hAnsi="Calibri"/>
          <w:color w:val="333333"/>
          <w:sz w:val="22"/>
          <w:szCs w:val="22"/>
        </w:rPr>
        <w:t xml:space="preserve">[Company Name] shall manage customs compliance through: accurate HTS classification of all imported goods, correct customs valuation (transaction value including assists, royalties, and other dutiable charges), timely filing of customs entries through a licensed customs broker, utilization of applicable duty reduction programs (Free Trade Agreements, Foreign Trade Zones, duty drawback), and retention of import records for [5] years per CBP requirements.</w:t>
      </w:r>
    </w:p>
    <w:p>
      <w:pPr>
        <w:pStyle w:val="Heading2"/>
        <w:spacing w:after="150" w:before="300"/>
      </w:pPr>
      <w:r>
        <w:rPr>
          <w:rFonts w:ascii="Georgia" w:cs="Georgia" w:eastAsia="Georgia" w:hAnsi="Georgia"/>
          <w:b/>
          <w:bCs/>
          <w:color w:val="333333"/>
          <w:sz w:val="26"/>
          <w:szCs w:val="26"/>
        </w:rPr>
        <w:t xml:space="preserve">3.4 Financial Impact and Disclosure</w:t>
      </w:r>
    </w:p>
    <w:p>
      <w:pPr>
        <w:spacing w:after="150" w:before="0"/>
        <w:jc w:val="both"/>
      </w:pPr>
      <w:r>
        <w:rPr>
          <w:rFonts w:ascii="Calibri" w:cs="Calibri" w:eastAsia="Calibri" w:hAnsi="Calibri"/>
          <w:color w:val="333333"/>
          <w:sz w:val="22"/>
          <w:szCs w:val="22"/>
        </w:rPr>
        <w:t xml:space="preserve">Trade compliance risks shall be evaluated for financial statement impact: potential penalties for known or suspected violations shall be evaluated under ASC 450, tariff and duty exposures shall be properly accrued, and material trade compliance risks shall be disclosed in the risk factors and MD&amp;A sections of SEC filings. The Controller shall coordinate with Legal to assess the financial impact of any identified violations.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Trade Compliance Officer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the trade compliance program. Maintains product classifications. Manages export licenses. Conducts denied party screening.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Sponsors the trade compliance program. Reviews financial exposure from trade compliance risks.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Accounts for customs duties, tariff accruals, and penalty contingencies. Ensures proper financial disclosure.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General Counsel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Advises on trade compliance law. Manages voluntary self-disclosures. Coordinates with outside trade counsel.</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Screens international vendor payments against denied party lists. Ensures customs duty payments are properly recorded.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AR / Sales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Screens international customers before shipment. Verifies end-user statements. Manages export documentation.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Supply Chain / Logistics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customs broker relationships. Ensures proper HTS classification for imports. Files customs entries.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HR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deemed export compliance for foreign national employees (technology access plans).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Maintains screening software integration. Manages technology access controls supporting deemed export compliance.</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Denied Party Screening Process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New customer, vendor, or transaction party entered into the system</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Automated screening runs against all applicable lists: OFAC SDN List, BIS Entity List, BIS Denied Persons List, BIS Unverified List, State Department AECA Debarred List, and applicable foreign government lists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No match: transaction proceeds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Potential match: Trade Compliance Officer reviews within [24] hours</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True match: transaction blocked, supervisor and Legal notified, incident documented</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False positive: documented with rationale and override approved by Trade Compliance Officer</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Rescreening performed when lists are updated (at minimum monthly for existing counterparties)</w:t>
      </w:r>
    </w:p>
    <w:p>
      <w:pPr>
        <w:pStyle w:val="Heading2"/>
        <w:spacing w:after="150" w:before="300"/>
      </w:pPr>
      <w:r>
        <w:rPr>
          <w:rFonts w:ascii="Georgia" w:cs="Georgia" w:eastAsia="Georgia" w:hAnsi="Georgia"/>
          <w:b/>
          <w:bCs/>
          <w:color w:val="333333"/>
          <w:sz w:val="26"/>
          <w:szCs w:val="26"/>
        </w:rPr>
        <w:t xml:space="preserve">5.2 Export License Management</w:t>
      </w:r>
    </w:p>
    <w:p>
      <w:pPr>
        <w:spacing w:after="150" w:before="0"/>
        <w:jc w:val="both"/>
      </w:pPr>
      <w:r>
        <w:rPr>
          <w:rFonts w:ascii="Calibri" w:cs="Calibri" w:eastAsia="Calibri" w:hAnsi="Calibri"/>
          <w:color w:val="333333"/>
          <w:sz w:val="22"/>
          <w:szCs w:val="22"/>
        </w:rPr>
        <w:t xml:space="preserve">When an export requires a license: the Trade Compliance Officer determines the license requirement based on the ECCN, destination, end user, and end use. License application prepared and submitted to BIS (EAR) or DDTC (ITAR). License conditions tracked and communicated to shipping and sales. License utilization tracked (quantity and value shipped against license limits). Expired or fully utilized licenses archived per record retention requirements.</w:t>
      </w:r>
    </w:p>
    <w:p>
      <w:pPr>
        <w:pStyle w:val="Heading2"/>
        <w:spacing w:after="150" w:before="300"/>
      </w:pPr>
      <w:r>
        <w:rPr>
          <w:rFonts w:ascii="Georgia" w:cs="Georgia" w:eastAsia="Georgia" w:hAnsi="Georgia"/>
          <w:b/>
          <w:bCs/>
          <w:color w:val="333333"/>
          <w:sz w:val="26"/>
          <w:szCs w:val="26"/>
        </w:rPr>
        <w:t xml:space="preserve">5.3 Customs Duty Management</w:t>
      </w:r>
    </w:p>
    <w:p>
      <w:pPr>
        <w:pStyle w:val="Heading3"/>
        <w:spacing w:after="100" w:before="200"/>
      </w:pPr>
      <w:r>
        <w:rPr>
          <w:rFonts w:ascii="Georgia" w:cs="Georgia" w:eastAsia="Georgia" w:hAnsi="Georgia"/>
          <w:b/>
          <w:bCs/>
          <w:color w:val="444444"/>
          <w:sz w:val="22"/>
          <w:szCs w:val="22"/>
        </w:rPr>
        <w:t xml:space="preserve">5.3.1 Import Classification</w:t>
      </w:r>
    </w:p>
    <w:p>
      <w:pPr>
        <w:spacing w:after="150" w:before="0"/>
        <w:jc w:val="both"/>
      </w:pPr>
      <w:r>
        <w:rPr>
          <w:rFonts w:ascii="Calibri" w:cs="Calibri" w:eastAsia="Calibri" w:hAnsi="Calibri"/>
          <w:color w:val="333333"/>
          <w:sz w:val="22"/>
          <w:szCs w:val="22"/>
        </w:rPr>
        <w:t xml:space="preserve">All imported goods shall be classified using the correct HTS code. Classification shall be: performed by a qualified customs specialist or broker, documented with the rationale for classification decisions, reviewed when products change or when HTS codes are updated, and consistent across all ports of entry.</w:t>
      </w:r>
    </w:p>
    <w:p>
      <w:pPr>
        <w:pStyle w:val="Heading3"/>
        <w:spacing w:after="100" w:before="200"/>
      </w:pPr>
      <w:r>
        <w:rPr>
          <w:rFonts w:ascii="Georgia" w:cs="Georgia" w:eastAsia="Georgia" w:hAnsi="Georgia"/>
          <w:b/>
          <w:bCs/>
          <w:color w:val="444444"/>
          <w:sz w:val="22"/>
          <w:szCs w:val="22"/>
        </w:rPr>
        <w:t xml:space="preserve">5.3.2 Customs Valuation</w:t>
      </w:r>
    </w:p>
    <w:p>
      <w:pPr>
        <w:spacing w:after="150" w:before="0"/>
        <w:jc w:val="both"/>
      </w:pPr>
      <w:r>
        <w:rPr>
          <w:rFonts w:ascii="Calibri" w:cs="Calibri" w:eastAsia="Calibri" w:hAnsi="Calibri"/>
          <w:color w:val="333333"/>
          <w:sz w:val="22"/>
          <w:szCs w:val="22"/>
        </w:rPr>
        <w:t xml:space="preserve">The customs value of imported goods shall include: the transaction value (price paid or payable), assists (tooling, materials, engineering provided to the foreign supplier), royalties and license fees related to the imported goods, selling commissions, and packing costs. The Controller shall ensure that all dutiable elements are properly included in the customs value.</w:t>
      </w:r>
    </w:p>
    <w:p>
      <w:pPr>
        <w:pStyle w:val="Heading3"/>
        <w:spacing w:after="100" w:before="200"/>
      </w:pPr>
      <w:r>
        <w:rPr>
          <w:rFonts w:ascii="Georgia" w:cs="Georgia" w:eastAsia="Georgia" w:hAnsi="Georgia"/>
          <w:b/>
          <w:bCs/>
          <w:color w:val="444444"/>
          <w:sz w:val="22"/>
          <w:szCs w:val="22"/>
        </w:rPr>
        <w:t xml:space="preserve">5.3.3 Duty Optimization</w:t>
      </w:r>
    </w:p>
    <w:p>
      <w:pPr>
        <w:spacing w:after="150" w:before="0"/>
        <w:jc w:val="both"/>
      </w:pPr>
      <w:r>
        <w:rPr>
          <w:rFonts w:ascii="Calibri" w:cs="Calibri" w:eastAsia="Calibri" w:hAnsi="Calibri"/>
          <w:color w:val="333333"/>
          <w:sz w:val="22"/>
          <w:szCs w:val="22"/>
        </w:rPr>
        <w:t xml:space="preserve">[Company Name] shall evaluate and utilize duty reduction programs where eligible: Free Trade Agreement preferential rates (USMCA, CAFTA-DR, etc.) with proper certificates of origin, Foreign Trade Zone (FTZ) designation for manufacturing or distribution facilities, duty drawback for duties paid on imported materials subsequently exported, temporary import bonds for goods temporarily in the US, and tariff engineering (product design modifications to achieve a lower duty classification, where legally permissible).</w:t>
      </w:r>
    </w:p>
    <w:p>
      <w:pPr>
        <w:pStyle w:val="Heading2"/>
        <w:spacing w:after="150" w:before="300"/>
      </w:pPr>
      <w:r>
        <w:rPr>
          <w:rFonts w:ascii="Georgia" w:cs="Georgia" w:eastAsia="Georgia" w:hAnsi="Georgia"/>
          <w:b/>
          <w:bCs/>
          <w:color w:val="333333"/>
          <w:sz w:val="26"/>
          <w:szCs w:val="26"/>
        </w:rPr>
        <w:t xml:space="preserve">5.4 Deemed Export Compliance</w:t>
      </w:r>
    </w:p>
    <w:p>
      <w:pPr>
        <w:spacing w:after="150" w:before="0"/>
        <w:jc w:val="both"/>
      </w:pPr>
      <w:r>
        <w:rPr>
          <w:rFonts w:ascii="Calibri" w:cs="Calibri" w:eastAsia="Calibri" w:hAnsi="Calibri"/>
          <w:color w:val="333333"/>
          <w:sz w:val="22"/>
          <w:szCs w:val="22"/>
        </w:rPr>
        <w:t xml:space="preserve">For foreign national employees with access to controlled technology: HR identifies foreign nationals during the hiring process, the Trade Compliance Officer evaluates whether the employee's access to technology constitutes a deemed export, if a license is required, a Technology Access Plan (TAP) is implemented restricting access to controlled technology until the license is obtained, and IT implements access controls per the TAP.</w:t>
      </w:r>
    </w:p>
    <w:p>
      <w:pPr>
        <w:pStyle w:val="Heading2"/>
        <w:spacing w:after="150" w:before="300"/>
      </w:pPr>
      <w:r>
        <w:rPr>
          <w:rFonts w:ascii="Georgia" w:cs="Georgia" w:eastAsia="Georgia" w:hAnsi="Georgia"/>
          <w:b/>
          <w:bCs/>
          <w:color w:val="333333"/>
          <w:sz w:val="26"/>
          <w:szCs w:val="26"/>
        </w:rPr>
        <w:t xml:space="preserve">5.5 Violation Response</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Potential violation identified (internal discovery, audit finding, or customer notification)</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Trade Compliance Officer conducts initial assessment of the violation</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Legal evaluates severity and reporting obligations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If VSD is warranted: Legal prepares the submission to BIS (EAR) or DDTC (ITAR)</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Controller evaluates the financial impact under ASC 450</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Corrective actions implemented to prevent recurrence</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Incident documented and reported to the CFO</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Trade Compliance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Product export classification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Trade Compliance Officer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Export license application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Trade Compliance Officer + Legal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Denied party screening override (false positive)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Trade Compliance Officer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Transaction with a restricted party</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Not permitted</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N/A (blocked)</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Voluntary self-disclosure decision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General Counsel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Customs broker engagement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Supply Chain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Duty optimization program implementation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Trade Compliance Officer + 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Technology Access Plan (deemed export)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Trade Compliance Officer + HR + IT</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Penalty accrual (ASC 450)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 CFO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There are no exceptions to denied party screening. Transactions with denied parties are prohibited by law. If a screening system failure prevents screening, international shipments and payments shall be held until screening is completed. Export classification disputes shall be escalated to the Trade Compliance Officer and, if unresolved, to outside trade counsel for a commodity jurisdiction determination or classification request.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Continuous denied party screening (automated with each transaction)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rescreening of existing counterparties against updated lists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export license utilization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customs compliance audit (post-entry review of classifications and valuations)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trade compliance training for relevant employees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program effectiveness assessment</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Denied party screening completion before transaction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Export license compliance (no shipments without required license)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Customs classification accuracy (post-entry audit findings)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[98%+]</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Trade compliance training completion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 of relevant employees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Voluntary self-disclosures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Minimize (indicates proactive detection)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Penalties assessed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$0</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Anti-Money Laundering &amp; Sanctions Compliance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Accounts Payable &amp; Disbursement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Vendor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Accounts Receivable &amp; Credit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Export Administration Regulations (15 CFR 730-774)</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International Traffic in Arms Regulations (22 CFR 120-130)</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OFAC regulations (31 CFR Part 500)</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Customs regulations (19 CFR)</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Denied Party Lists Reference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List</w:t>
            </w:r>
          </w:p>
        </w:tc>
        <w:tc>
          <w:tcPr>
            <w:tcW w:type="dxa" w:w="6160"/>
            <w:shd w:fill="0C0C0C" w:val="clear"/>
          </w:tcPr>
          <w:p>
            <w:pPr>
              <w:spacing w:after="60" w:before="60"/>
            </w:pPr>
            <w:r>
              <w:rPr>
                <w:rFonts w:ascii="Calibri" w:cs="Calibri" w:eastAsia="Calibri" w:hAnsi="Calibri"/>
                <w:b/>
                <w:bCs/>
                <w:color w:val="D4AF37"/>
                <w:sz w:val="20"/>
                <w:szCs w:val="20"/>
              </w:rPr>
              <w:t xml:space="preserve">Administering Agency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Specially Designated Nationals (SDN)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OFAC (Treasury)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Entity List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BIS (Commerce)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Denied Persons List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BIS (Commerce)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Unverified List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BIS (Commerce)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AECA Debarred List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DDTC (State)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Non-SDN Lists (Sectoral, CAPTA, etc.)</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OFAC (Treasury)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EU Consolidated List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European Union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UK Sanctions List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UK Government</w:t>
            </w:r>
          </w:p>
        </w:tc>
      </w:tr>
    </w:tbl>
    <w:p>
      <w:pPr>
        <w:pStyle w:val="Heading2"/>
        <w:spacing w:after="150" w:before="300"/>
      </w:pPr>
      <w:r>
        <w:rPr>
          <w:rFonts w:ascii="Georgia" w:cs="Georgia" w:eastAsia="Georgia" w:hAnsi="Georgia"/>
          <w:b/>
          <w:bCs/>
          <w:color w:val="333333"/>
          <w:sz w:val="26"/>
          <w:szCs w:val="26"/>
        </w:rPr>
        <w:t xml:space="preserve">Appendix B — HTS Classification Documentation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Product description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Detailed description of the imported good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HTS code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10-digit classification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Duty rate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Applicable duty percentage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FTA eligibility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Qualifying free trade agreement and certificate of origin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Country of origin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Manufacturing country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Customs value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Transaction value plus dutiable additions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Classification rationale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Basis for the HTS code determination</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Export Control &amp; Trade Compliance (Finance)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2026-07-13T17:33:00.672Z</dcterms:created>
  <dcterms:modified xsi:type="dcterms:W3CDTF">2026-07-13T17:33:00.684Z</dcterms:modified>
</cp:coreProperties>
</file>

<file path=docProps/custom.xml><?xml version="1.0" encoding="utf-8"?>
<Properties xmlns="http://schemas.openxmlformats.org/officeDocument/2006/custom-properties" xmlns:vt="http://schemas.openxmlformats.org/officeDocument/2006/docPropsVTypes"/>
</file>