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Captive Insurance &amp; Self-Insurance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Captive Insurance and Self-Insurance Policy establishes the standards, procedures, and controls governing [Company Name]'s self-insured risk retention programs and captive insurance arrangements. The policy ensures proper accounting for self-insured liabilities, adequate reserving for retained risks, and effective governance of captive insurance entities.</w:t>
      </w:r>
    </w:p>
    <w:p>
      <w:pPr>
        <w:spacing w:after="150" w:before="0"/>
        <w:jc w:val="both"/>
      </w:pPr>
      <w:r>
        <w:rPr>
          <w:rFonts w:ascii="Calibri" w:cs="Calibri" w:eastAsia="Calibri" w:hAnsi="Calibri"/>
          <w:color w:val="333333"/>
          <w:sz w:val="22"/>
          <w:szCs w:val="22"/>
        </w:rPr>
        <w:t xml:space="preserve">This policy applies to all self-insurance and captive insurance activities including: workers compensation self-insured retention (SIR), general liability SIR, auto liability SIR, employee health benefits self-funding, property damage retention, captive insurance subsidiary operations (if applicable), and any other risk financing arrangement where [Company Name] retains loss exposure.</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adequate reserves for self-insured losses using actuarial methods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self-insured retentions are financially manageable and cost-effective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Govern captive insurance operations with the same rigor as any subsidiary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actuarial standards and state insurance regulations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transparent disclosure of self-insurance programs and obligations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Optimize the total cost of risk through appropriate retention levels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Self-Insured Retention (SIR)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amount of each loss that [Company Name] retains before commercial insurance coverage begins.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Self-Funded Health Plan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employee health benefit plan where [Company Name] pays claims directly rather than purchasing fully insured coverage.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Stop-Loss Insurance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Insurance purchased to limit [Company Name]'s exposure under self-insured programs — specific stop-loss (per claim) and aggregate stop-loss (total claims).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IBNR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Incurred But Not Reported — an estimate of losses that have occurred but have not yet been reported to [Company Name] or its insurer.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Actuarial Valuation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professional estimate of self-insured liabilities prepared by a qualified actuary using statistical methods.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Captive Insurance Company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wholly-owned insurance subsidiary formed to provide coverage to [Company Name] and potentially unrelated risks.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Loss Development Factor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multiplier applied to known losses to estimate ultimate loss amounts, reflecting the historical pattern of claims development.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Claims Reserve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estimated liability for known claims that have been reported but not yet settled.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Funded Status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For captive insurance: the relationship between captive assets and estimated liabilities.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Third-Party Administrator (TPA)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external firm that administers claims processing and management for self-insured programs.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Self-Insurance Programs</w:t>
      </w:r>
    </w:p>
    <w:p>
      <w:pPr>
        <w:spacing w:after="150" w:before="0"/>
        <w:jc w:val="both"/>
      </w:pPr>
      <w:r>
        <w:rPr>
          <w:rFonts w:ascii="Calibri" w:cs="Calibri" w:eastAsia="Calibri" w:hAnsi="Calibri"/>
          <w:color w:val="333333"/>
          <w:sz w:val="22"/>
          <w:szCs w:val="22"/>
        </w:rPr>
        <w:t xml:space="preserve">[Company Name] maintains the following self-insured programs: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Program</w:t>
            </w:r>
          </w:p>
        </w:tc>
        <w:tc>
          <w:tcPr>
            <w:tcW w:type="dxa" w:w="6160"/>
            <w:shd w:fill="0C0C0C" w:val="clear"/>
          </w:tcPr>
          <w:p>
            <w:pPr>
              <w:spacing w:after="60" w:before="60"/>
            </w:pPr>
            <w:r>
              <w:rPr>
                <w:rFonts w:ascii="Calibri" w:cs="Calibri" w:eastAsia="Calibri" w:hAnsi="Calibri"/>
                <w:b/>
                <w:bCs/>
                <w:color w:val="D4AF37"/>
                <w:sz w:val="20"/>
                <w:szCs w:val="20"/>
              </w:rPr>
              <w:t xml:space="preserve">Retention Level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Workers compensation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 per occurrence SIR, with excess coverage above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General liability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 per occurrence SIR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Auto liability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 per occurrence SIR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Employee health benefits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Self-funded with specific stop-loss at $[X] per claimant and aggregate stop-loss at [X%] of expected claims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Property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 per occurrence deductible</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Retention levels are reviewed annually as part of the insurance renewal process.</w:t>
      </w:r>
    </w:p>
    <w:p>
      <w:pPr>
        <w:pStyle w:val="Heading2"/>
        <w:spacing w:after="150" w:before="300"/>
      </w:pPr>
      <w:r>
        <w:rPr>
          <w:rFonts w:ascii="Georgia" w:cs="Georgia" w:eastAsia="Georgia" w:hAnsi="Georgia"/>
          <w:b/>
          <w:bCs/>
          <w:color w:val="333333"/>
          <w:sz w:val="26"/>
          <w:szCs w:val="26"/>
        </w:rPr>
        <w:t xml:space="preserve">3.2 Reserve Methodology</w:t>
      </w:r>
    </w:p>
    <w:p>
      <w:pPr>
        <w:spacing w:after="150" w:before="0"/>
        <w:jc w:val="both"/>
      </w:pPr>
      <w:r>
        <w:rPr>
          <w:rFonts w:ascii="Calibri" w:cs="Calibri" w:eastAsia="Calibri" w:hAnsi="Calibri"/>
          <w:color w:val="333333"/>
          <w:sz w:val="22"/>
          <w:szCs w:val="22"/>
        </w:rPr>
        <w:t xml:space="preserve">Self-insured loss reserves shall be estimated using actuarial methods: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Reported claims: reserved at the estimated ultimate cost to settle each claim (case reserve)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IBNR: estimated using loss development triangles and actuarial projection methods (paid loss development, incurred loss development, Bornhuetter-Ferguson)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Total self-insured liability = case reserves + IBNR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Reserves shall be discounted to present value only if the amount and timing of payments are fixed or reasonably determinable (ASC 410-30)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Undiscounted reserves are the default presentation per ASC 450</w:t>
      </w:r>
    </w:p>
    <w:p>
      <w:pPr>
        <w:pStyle w:val="Heading2"/>
        <w:spacing w:after="150" w:before="300"/>
      </w:pPr>
      <w:r>
        <w:rPr>
          <w:rFonts w:ascii="Georgia" w:cs="Georgia" w:eastAsia="Georgia" w:hAnsi="Georgia"/>
          <w:b/>
          <w:bCs/>
          <w:color w:val="333333"/>
          <w:sz w:val="26"/>
          <w:szCs w:val="26"/>
        </w:rPr>
        <w:t xml:space="preserve">3.3 Actuarial Valuation</w:t>
      </w:r>
    </w:p>
    <w:p>
      <w:pPr>
        <w:spacing w:after="150" w:before="0"/>
        <w:jc w:val="both"/>
      </w:pPr>
      <w:r>
        <w:rPr>
          <w:rFonts w:ascii="Calibri" w:cs="Calibri" w:eastAsia="Calibri" w:hAnsi="Calibri"/>
          <w:color w:val="333333"/>
          <w:sz w:val="22"/>
          <w:szCs w:val="22"/>
        </w:rPr>
        <w:t xml:space="preserve">An independent actuarial valuation shall be performed at least annually for all self-insured programs. The actuary shall: analyze historical loss data and claims development patterns, project ultimate losses for each accident year, estimate IBNR and total reserve requirements, provide a confidence level range for the reserve estimate, and identify trends or changes affecting loss experience. The Controller shall select the reserve point within the actuarial range.</w:t>
      </w:r>
    </w:p>
    <w:p>
      <w:pPr>
        <w:pStyle w:val="Heading2"/>
        <w:spacing w:after="150" w:before="300"/>
      </w:pPr>
      <w:r>
        <w:rPr>
          <w:rFonts w:ascii="Georgia" w:cs="Georgia" w:eastAsia="Georgia" w:hAnsi="Georgia"/>
          <w:b/>
          <w:bCs/>
          <w:color w:val="333333"/>
          <w:sz w:val="26"/>
          <w:szCs w:val="26"/>
        </w:rPr>
        <w:t xml:space="preserve">3.4 Stop-Loss Insurance</w:t>
      </w:r>
    </w:p>
    <w:p>
      <w:pPr>
        <w:spacing w:after="150" w:before="0"/>
        <w:jc w:val="both"/>
      </w:pPr>
      <w:r>
        <w:rPr>
          <w:rFonts w:ascii="Calibri" w:cs="Calibri" w:eastAsia="Calibri" w:hAnsi="Calibri"/>
          <w:color w:val="333333"/>
          <w:sz w:val="22"/>
          <w:szCs w:val="22"/>
        </w:rPr>
        <w:t xml:space="preserve">[Company Name] shall maintain stop-loss insurance for self-funded health benefits and may purchase aggregate stop-loss for casualty programs. Stop-loss limits shall be: set to limit [Company Name]'s maximum exposure to a manageable level, reviewed annually for adequacy, and adjusted when claim frequency or severity trends warrant.</w:t>
      </w:r>
    </w:p>
    <w:p>
      <w:pPr>
        <w:pStyle w:val="Heading2"/>
        <w:spacing w:after="150" w:before="300"/>
      </w:pPr>
      <w:r>
        <w:rPr>
          <w:rFonts w:ascii="Georgia" w:cs="Georgia" w:eastAsia="Georgia" w:hAnsi="Georgia"/>
          <w:b/>
          <w:bCs/>
          <w:color w:val="333333"/>
          <w:sz w:val="26"/>
          <w:szCs w:val="26"/>
        </w:rPr>
        <w:t xml:space="preserve">3.5 Captive Insurance Governance</w:t>
      </w:r>
    </w:p>
    <w:p>
      <w:pPr>
        <w:spacing w:after="150" w:before="0"/>
        <w:jc w:val="both"/>
      </w:pPr>
      <w:r>
        <w:rPr>
          <w:rFonts w:ascii="Calibri" w:cs="Calibri" w:eastAsia="Calibri" w:hAnsi="Calibri"/>
          <w:color w:val="333333"/>
          <w:sz w:val="22"/>
          <w:szCs w:val="22"/>
        </w:rPr>
        <w:t xml:space="preserve">If [Company Name] operates a captive insurance subsidiary: the captive shall be governed by a Board of Directors (which may overlap with [Company Name]'s Board), actuarial opinions shall be obtained annually for the captive's reserves, the captive shall maintain adequate capital per its domicile jurisdiction's requirements, the captive's financial statements shall be audited annually, and the captive shall be consolidated per ASC 810 (intercompany premiums eliminated).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self-insurance retention levels. Reviews reserve adequacy. Oversees captive operations.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Risk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self-insurance programs day-to-day. Coordinates with the TPA. Manages stop-loss insurance. Engages the actuary.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Records self-insured liabilities per actuarial recommendations. Reviews reserve adequacy for financial reporting. Ensures proper disclosure.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Actuary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Performs the annual actuarial valuation. Provides reserve recommendations. Identifies trends in loss experience.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Processes and adjusts claims. Provides loss runs and claims data. Manages provider networks (health).</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Administers the self-funded health plan. Manages enrollment. Communicates benefits to employees.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litigated claims. Advises on claim settlements. Reviews TPA contracts.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Captive Manager (if applicable)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captive entity. Handles regulatory filings. Coordinates reinsurance.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Tests self-insurance controls. Reviews claims handling. Validates actuarial data inputs.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Claims Management</w:t>
      </w:r>
    </w:p>
    <w:p>
      <w:pPr>
        <w:pStyle w:val="Heading3"/>
        <w:spacing w:after="100" w:before="200"/>
      </w:pPr>
      <w:r>
        <w:rPr>
          <w:rFonts w:ascii="Georgia" w:cs="Georgia" w:eastAsia="Georgia" w:hAnsi="Georgia"/>
          <w:b/>
          <w:bCs/>
          <w:color w:val="444444"/>
          <w:sz w:val="22"/>
          <w:szCs w:val="22"/>
        </w:rPr>
        <w:t xml:space="preserve">5.1.1 Workers Compensation and Liability Claims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Incident occurs and is reported to the Risk Manager within [24] hours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Risk Manager reports the claim to the TPA</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TPA assigns an adjuster who investigates the claim</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Case reserve established based on the adjuster's evaluation</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Claim managed through resolution (settlement, closure, or litigation)</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Claims data reported to [Company Name] monthly (loss runs)</w:t>
      </w:r>
    </w:p>
    <w:p>
      <w:pPr>
        <w:pStyle w:val="Heading3"/>
        <w:spacing w:after="100" w:before="200"/>
      </w:pPr>
      <w:r>
        <w:rPr>
          <w:rFonts w:ascii="Georgia" w:cs="Georgia" w:eastAsia="Georgia" w:hAnsi="Georgia"/>
          <w:b/>
          <w:bCs/>
          <w:color w:val="444444"/>
          <w:sz w:val="22"/>
          <w:szCs w:val="22"/>
        </w:rPr>
        <w:t xml:space="preserve">5.1.2 Health Benefits Claims</w:t>
      </w:r>
    </w:p>
    <w:p>
      <w:pPr>
        <w:spacing w:after="150" w:before="0"/>
        <w:jc w:val="both"/>
      </w:pPr>
      <w:r>
        <w:rPr>
          <w:rFonts w:ascii="Calibri" w:cs="Calibri" w:eastAsia="Calibri" w:hAnsi="Calibri"/>
          <w:color w:val="333333"/>
          <w:sz w:val="22"/>
          <w:szCs w:val="22"/>
        </w:rPr>
        <w:t xml:space="preserve">Health claims are processed by the TPA per the plan document. The TPA: processes claims per the plan terms, manages the provider network, provides monthly claims reports, and applies stop-loss recoveries when individual claims exceed the specific stop-loss threshold.</w:t>
      </w:r>
    </w:p>
    <w:p>
      <w:pPr>
        <w:pStyle w:val="Heading2"/>
        <w:spacing w:after="150" w:before="300"/>
      </w:pPr>
      <w:r>
        <w:rPr>
          <w:rFonts w:ascii="Georgia" w:cs="Georgia" w:eastAsia="Georgia" w:hAnsi="Georgia"/>
          <w:b/>
          <w:bCs/>
          <w:color w:val="333333"/>
          <w:sz w:val="26"/>
          <w:szCs w:val="26"/>
        </w:rPr>
        <w:t xml:space="preserve">5.2 Reserve Recording</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Risk Manager provides claims data (loss runs) to the Controller and actuary</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Actuary performs the annual valuation (or quarterly updates for material programs)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Actuary provides the reserve recommendation (point estimate and range)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Controller reviews the actuarial report and selects the reserve point</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Reserve adjustment recorded: Dr. Self-Insurance Expense / Cr. Self-Insured Liability</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Claims payments reduce the liability: Dr. Self-Insured Liability / Cr. Cash</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Stop-loss recoveries recorded when received: Dr. Cash / Cr. Self-Insurance Expense (or receivable when probable)</w:t>
      </w:r>
    </w:p>
    <w:p>
      <w:pPr>
        <w:pStyle w:val="Heading2"/>
        <w:spacing w:after="150" w:before="300"/>
      </w:pPr>
      <w:r>
        <w:rPr>
          <w:rFonts w:ascii="Georgia" w:cs="Georgia" w:eastAsia="Georgia" w:hAnsi="Georgia"/>
          <w:b/>
          <w:bCs/>
          <w:color w:val="333333"/>
          <w:sz w:val="26"/>
          <w:szCs w:val="26"/>
        </w:rPr>
        <w:t xml:space="preserve">5.3 Health Plan Financial Management</w:t>
      </w:r>
    </w:p>
    <w:p>
      <w:pPr>
        <w:spacing w:after="150" w:before="0"/>
        <w:jc w:val="both"/>
      </w:pPr>
      <w:r>
        <w:rPr>
          <w:rFonts w:ascii="Calibri" w:cs="Calibri" w:eastAsia="Calibri" w:hAnsi="Calibri"/>
          <w:color w:val="333333"/>
          <w:sz w:val="22"/>
          <w:szCs w:val="22"/>
        </w:rPr>
        <w:t xml:space="preserve">The self-funded health plan financial performance shall be monitored monthly: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Claims paid vs. budget (per employee per month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Large claims tracking (claims approaching specific stop-loss threshold)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Aggregate claims vs. aggregate stop-loss corridor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IBNR estimate (claims incurred but not yet processed by the TPA)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Plan funding adequacy (cash on hand to pay anticipated claims)</w:t>
      </w:r>
    </w:p>
    <w:p>
      <w:pPr>
        <w:spacing w:after="150" w:before="0"/>
        <w:jc w:val="both"/>
      </w:pPr>
      <w:r>
        <w:rPr>
          <w:rFonts w:ascii="Calibri" w:cs="Calibri" w:eastAsia="Calibri" w:hAnsi="Calibri"/>
          <w:color w:val="333333"/>
          <w:sz w:val="22"/>
          <w:szCs w:val="22"/>
        </w:rPr>
        <w:t xml:space="preserve">Material adverse trends shall be reported to the CFO and HR with recommendations for plan design or contribution rate adjustments.</w:t>
      </w:r>
    </w:p>
    <w:p>
      <w:pPr>
        <w:pStyle w:val="Heading2"/>
        <w:spacing w:after="150" w:before="300"/>
      </w:pPr>
      <w:r>
        <w:rPr>
          <w:rFonts w:ascii="Georgia" w:cs="Georgia" w:eastAsia="Georgia" w:hAnsi="Georgia"/>
          <w:b/>
          <w:bCs/>
          <w:color w:val="333333"/>
          <w:sz w:val="26"/>
          <w:szCs w:val="26"/>
        </w:rPr>
        <w:t xml:space="preserve">5.4 Actuarial Data Management</w:t>
      </w:r>
    </w:p>
    <w:p>
      <w:pPr>
        <w:spacing w:after="150" w:before="0"/>
        <w:jc w:val="both"/>
      </w:pPr>
      <w:r>
        <w:rPr>
          <w:rFonts w:ascii="Calibri" w:cs="Calibri" w:eastAsia="Calibri" w:hAnsi="Calibri"/>
          <w:color w:val="333333"/>
          <w:sz w:val="22"/>
          <w:szCs w:val="22"/>
        </w:rPr>
        <w:t xml:space="preserve">The Risk Manager shall provide the actuary with: loss runs by program (workers compensation, general liability, auto), claims detail (open and closed claims with reserve and paid amounts), exposure data (payroll, headcount, revenue, vehicles by state), historical policy limits and retention levels, and any changes to operations that could affect loss experience. Data shall be provided at least [30] days before the actuarial valuation date.</w:t>
      </w:r>
    </w:p>
    <w:p>
      <w:pPr>
        <w:pStyle w:val="Heading2"/>
        <w:spacing w:after="150" w:before="300"/>
      </w:pPr>
      <w:r>
        <w:rPr>
          <w:rFonts w:ascii="Georgia" w:cs="Georgia" w:eastAsia="Georgia" w:hAnsi="Georgia"/>
          <w:b/>
          <w:bCs/>
          <w:color w:val="333333"/>
          <w:sz w:val="26"/>
          <w:szCs w:val="26"/>
        </w:rPr>
        <w:t xml:space="preserve">5.5 Captive Insurance Operations</w:t>
      </w:r>
    </w:p>
    <w:p>
      <w:pPr>
        <w:spacing w:after="150" w:before="0"/>
        <w:jc w:val="both"/>
      </w:pPr>
      <w:r>
        <w:rPr>
          <w:rFonts w:ascii="Calibri" w:cs="Calibri" w:eastAsia="Calibri" w:hAnsi="Calibri"/>
          <w:color w:val="333333"/>
          <w:sz w:val="22"/>
          <w:szCs w:val="22"/>
        </w:rPr>
        <w:t xml:space="preserve">If [Company Name] operates a captive: premiums shall be set based on actuarial analysis of expected losses plus a risk margin, the captive shall maintain reserves per the actuary's recommendation, reinsurance shall be purchased to manage the captive's retention, regulatory filings shall be made per the domicile jurisdiction's requirements (annual statement, premium tax), and the captive's board shall meet at least [quarterly] to review operations.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Self-Insurance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Self-insured retention level (annual review)</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Reserve point selection (within actuarial range)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Stop-loss insurance purchase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Risk Manager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Claim settlement (within SIR)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$100K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Risk Manager + TPA</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Claim settlement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$100K - $500K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Risk Manager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Claim settlement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$500K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 + Board notification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Health plan design changes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HR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Captive establishment or dissolution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Board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Actuarial firm engagement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Risk Manager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TPA selection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Risk Manager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Claims with estimated ultimate value exceeding [50%] of the SIR shall be reported to the CFO immediately. If the actuarial valuation indicates the required reserve is materially higher (&gt; [20%]) than the current reserve, the Controller shall discuss with the CFO and external auditor before recording. Stop-loss recoveries that are disputed by the stop-loss carrier shall be escalated to Legal. If the captive's funded status falls below the regulatory minimum, the CFO shall address the shortfall within [30] days.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claims activity review (new claims, settlements, reserve changes)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health plan financial performance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reserve adequacy assessment (Controller and Risk Manager)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actuarial valuation for all self-insured programs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stop-loss adequacy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captive regulatory filing compliance (if applicable)</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Reserve adequacy (actual vs. actuarial estimate)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actuarial confidence range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Claims reporting timeliness (incidents reported within 24 hours)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Health plan claims per employee per month</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[5%] of budget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Stop-loss recoveries collected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of qualifying claims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Actuarial valuation completed before year-end close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Captive regulatory filings on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Insurance &amp; Risk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Business Continuity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Contingent Liability &amp; Litigation Reserve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Payroll Processing Policy (workers compensation)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450, Contingencies (self-insured loss reserves)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944, Financial Services — Insurance (captive operations)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Actuarial Standards of Practice (ASOPs)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State insurance regulations (captive domicile)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Self-Insurance Reserve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Program</w:t>
            </w:r>
          </w:p>
        </w:tc>
        <w:tc>
          <w:tcPr>
            <w:tcW w:type="dxa" w:w="6160"/>
            <w:shd w:fill="0C0C0C" w:val="clear"/>
          </w:tcPr>
          <w:p>
            <w:pPr>
              <w:spacing w:after="60" w:before="60"/>
            </w:pPr>
            <w:r>
              <w:rPr>
                <w:rFonts w:ascii="Calibri" w:cs="Calibri" w:eastAsia="Calibri" w:hAnsi="Calibri"/>
                <w:b/>
                <w:bCs/>
                <w:color w:val="D4AF37"/>
                <w:sz w:val="20"/>
                <w:szCs w:val="20"/>
              </w:rPr>
              <w:t xml:space="preserve">Case Reserves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Workers Compensation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General Liability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Auto Liability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Health Benefits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bl>
    <w:p>
      <w:pPr>
        <w:pStyle w:val="Heading2"/>
        <w:spacing w:after="150" w:before="300"/>
      </w:pPr>
      <w:r>
        <w:rPr>
          <w:rFonts w:ascii="Georgia" w:cs="Georgia" w:eastAsia="Georgia" w:hAnsi="Georgia"/>
          <w:b/>
          <w:bCs/>
          <w:color w:val="333333"/>
          <w:sz w:val="26"/>
          <w:szCs w:val="26"/>
        </w:rPr>
        <w:t xml:space="preserve">Appendix B — Loss Development Triangle (Example)</w:t>
      </w:r>
    </w:p>
    <w:p>
      <w:pPr>
        <w:spacing w:after="150" w:before="0"/>
        <w:jc w:val="both"/>
      </w:pPr>
      <w:r>
        <w:rPr>
          <w:rFonts w:ascii="Calibri" w:cs="Calibri" w:eastAsia="Calibri" w:hAnsi="Calibri"/>
          <w:color w:val="333333"/>
          <w:sz w:val="22"/>
          <w:szCs w:val="22"/>
        </w:rPr>
        <w:t xml:space="preserve">A loss development triangle displays cumulative paid (or incurred) losses by accident year and development period. The actuary uses this data to project ultimate losses by applying loss development factors derived from historical patterns. The Controller shall maintain loss triangles by program with at least [5] accident years of data.</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Captive Insurance &amp; Self-Insurance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2026-07-13T17:26:10.204Z</dcterms:created>
  <dcterms:modified xsi:type="dcterms:W3CDTF">2026-07-13T17:26:10.204Z</dcterms:modified>
</cp:coreProperties>
</file>

<file path=docProps/custom.xml><?xml version="1.0" encoding="utf-8"?>
<Properties xmlns="http://schemas.openxmlformats.org/officeDocument/2006/custom-properties" xmlns:vt="http://schemas.openxmlformats.org/officeDocument/2006/docPropsVTypes"/>
</file>