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Derivative &amp; Hedging Accounting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Derivative and Hedging Accounting Policy establishes the comprehensive standards, procedures, and controls governing how [Company Name] accounts for derivative instruments and hedging activities across all risk types. The policy ensures compliance with ASC 815 (Derivatives and Hedging) and provides detailed guidance beyond the Foreign Currency Management Policy for interest rate, commodity, and other derivative instruments.</w:t>
      </w:r>
    </w:p>
    <w:p>
      <w:pPr>
        <w:spacing w:after="150" w:before="0"/>
        <w:jc w:val="both"/>
      </w:pPr>
      <w:r>
        <w:rPr>
          <w:rFonts w:ascii="Calibri" w:cs="Calibri" w:eastAsia="Calibri" w:hAnsi="Calibri"/>
          <w:color w:val="333333"/>
          <w:sz w:val="22"/>
          <w:szCs w:val="22"/>
        </w:rPr>
        <w:t xml:space="preserve">This policy applies to all derivative instruments and hedging relationships including: interest rate swaps, caps, floors, and collars, commodity futures, forwards, and options, foreign currency derivatives (detailed operational guidance in the FX Policy; accounting guidance here), equity derivatives, embedded derivatives in host contracts, and any other contract meeting the ASC 815 derivative definition.</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derivative instruments are recognized at fair value on the balance sheet per ASC 815</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Apply hedge accounting where qualifying relationships exist to reduce earnings volatility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contemporaneous hedge documentation meeting ASC 815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Perform and document hedge effectiveness testing at inception and on an ongoing basis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Properly de-designate hedging relationships when criteria are no longer met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complete derivative and hedging disclosures per ASC 815 and ASC 820</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Derivative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financial instrument whose value is derived from an underlying rate, price, or index, with one or more notional amounts, requiring no or minimal initial net investment, and settled net.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Fair Value Hedge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hedge of the exposure to changes in fair value of a recognized asset, liability, or firm commitment attributable to a particular risk.</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Cash Flow Hedge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hedge of the exposure to variability in expected future cash flows attributable to a particular risk.</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Net Investment Hedge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hedge of the foreign currency exposure of a net investment in a foreign operation.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Hedge Effectiveness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degree to which changes in the fair value or cash flows of the hedging instrument offset changes in the fair value or cash flows of the hedged item.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Hedge Ratio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relationship between the quantity of the hedging instrument and the quantity of the hedged item.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 Terms Match</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qualitative method for assessing hedge effectiveness when the critical terms of the hedging instrument and hedged item are identical.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Regression Analysis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quantitative method for assessing hedge effectiveness by measuring the statistical relationship between changes in the hedging instrument and hedged item.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Ineffectiveness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portion of the gain or loss on the hedging instrument that does not offset the gain or loss on the hedged item; recognized in current earnings.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Embedded Derivative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derivative component within a non-derivative host contract that must be bifurcated and accounted for separately if certain conditions are met.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Derivative Recognition</w:t>
      </w:r>
    </w:p>
    <w:p>
      <w:pPr>
        <w:spacing w:after="150" w:before="0"/>
        <w:jc w:val="both"/>
      </w:pPr>
      <w:r>
        <w:rPr>
          <w:rFonts w:ascii="Calibri" w:cs="Calibri" w:eastAsia="Calibri" w:hAnsi="Calibri"/>
          <w:color w:val="333333"/>
          <w:sz w:val="22"/>
          <w:szCs w:val="22"/>
        </w:rPr>
        <w:t xml:space="preserve">All derivative instruments shall be recognized on the balance sheet at fair value per ASC 815-10-35-1, regardless of whether hedge accounting is applied. Changes in fair value are recognized in: earnings (if the derivative is not designated in a qualifying hedging relationship), or Other Comprehensive Income (OCI) for the effective portion of a cash flow hedge or net investment hedge, with reclassification to earnings when the hedged transaction affects earnings.</w:t>
      </w:r>
    </w:p>
    <w:p>
      <w:pPr>
        <w:pStyle w:val="Heading2"/>
        <w:spacing w:after="150" w:before="300"/>
      </w:pPr>
      <w:r>
        <w:rPr>
          <w:rFonts w:ascii="Georgia" w:cs="Georgia" w:eastAsia="Georgia" w:hAnsi="Georgia"/>
          <w:b/>
          <w:bCs/>
          <w:color w:val="333333"/>
          <w:sz w:val="26"/>
          <w:szCs w:val="26"/>
        </w:rPr>
        <w:t xml:space="preserve">3.2 Hedge Accounting Designation</w:t>
      </w:r>
    </w:p>
    <w:p>
      <w:pPr>
        <w:spacing w:after="150" w:before="0"/>
        <w:jc w:val="both"/>
      </w:pPr>
      <w:r>
        <w:rPr>
          <w:rFonts w:ascii="Calibri" w:cs="Calibri" w:eastAsia="Calibri" w:hAnsi="Calibri"/>
          <w:color w:val="333333"/>
          <w:sz w:val="22"/>
          <w:szCs w:val="22"/>
        </w:rPr>
        <w:t xml:space="preserve">[Company Name] may designate qualifying hedging relationships to reduce earnings volatility. Hedge designation is optional and requires: a formal hedging relationship designation document at inception, prospective assessment that the hedge is expected to be highly effective, ongoing effectiveness assessment (at least quarterly), and contemporaneous documentation of the risk management objective.</w:t>
      </w:r>
    </w:p>
    <w:p>
      <w:pPr>
        <w:pStyle w:val="Heading2"/>
        <w:spacing w:after="150" w:before="300"/>
      </w:pPr>
      <w:r>
        <w:rPr>
          <w:rFonts w:ascii="Georgia" w:cs="Georgia" w:eastAsia="Georgia" w:hAnsi="Georgia"/>
          <w:b/>
          <w:bCs/>
          <w:color w:val="333333"/>
          <w:sz w:val="26"/>
          <w:szCs w:val="26"/>
        </w:rPr>
        <w:t xml:space="preserve">3.3 Hedge Documentation Requirements</w:t>
      </w:r>
    </w:p>
    <w:p>
      <w:pPr>
        <w:spacing w:after="150" w:before="0"/>
        <w:jc w:val="both"/>
      </w:pPr>
      <w:r>
        <w:rPr>
          <w:rFonts w:ascii="Calibri" w:cs="Calibri" w:eastAsia="Calibri" w:hAnsi="Calibri"/>
          <w:color w:val="333333"/>
          <w:sz w:val="22"/>
          <w:szCs w:val="22"/>
        </w:rPr>
        <w:t xml:space="preserve">At inception of each hedging relationship, the following shall be documented: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hedging instrument (type, notional, maturity, counterparty)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hedged item or forecasted transaction (specific identification)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nature of the risk being hedged (interest rate risk, commodity price risk, FX risk)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hedge effectiveness assessment methodology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hedge ratio and how it was determined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risk management objective and strategy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 cash flow hedges: the probability assessment for the forecasted transaction</w:t>
      </w:r>
    </w:p>
    <w:p>
      <w:pPr>
        <w:pStyle w:val="Heading2"/>
        <w:spacing w:after="150" w:before="300"/>
      </w:pPr>
      <w:r>
        <w:rPr>
          <w:rFonts w:ascii="Georgia" w:cs="Georgia" w:eastAsia="Georgia" w:hAnsi="Georgia"/>
          <w:b/>
          <w:bCs/>
          <w:color w:val="333333"/>
          <w:sz w:val="26"/>
          <w:szCs w:val="26"/>
        </w:rPr>
        <w:t xml:space="preserve">3.4 Effectiveness Assessment</w:t>
      </w:r>
    </w:p>
    <w:p>
      <w:pPr>
        <w:spacing w:after="150" w:before="0"/>
        <w:jc w:val="both"/>
      </w:pPr>
      <w:r>
        <w:rPr>
          <w:rFonts w:ascii="Calibri" w:cs="Calibri" w:eastAsia="Calibri" w:hAnsi="Calibri"/>
          <w:color w:val="333333"/>
          <w:sz w:val="22"/>
          <w:szCs w:val="22"/>
        </w:rPr>
        <w:t xml:space="preserve">[Company Name] shall assess hedge effectiveness using the following methods: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Method</w:t>
            </w:r>
          </w:p>
        </w:tc>
        <w:tc>
          <w:tcPr>
            <w:tcW w:type="dxa" w:w="6160"/>
            <w:shd w:fill="0C0C0C" w:val="clear"/>
          </w:tcPr>
          <w:p>
            <w:pPr>
              <w:spacing w:after="60" w:before="60"/>
            </w:pPr>
            <w:r>
              <w:rPr>
                <w:rFonts w:ascii="Calibri" w:cs="Calibri" w:eastAsia="Calibri" w:hAnsi="Calibri"/>
                <w:b/>
                <w:bCs/>
                <w:color w:val="D4AF37"/>
                <w:sz w:val="20"/>
                <w:szCs w:val="20"/>
              </w:rPr>
              <w:t xml:space="preserve">Application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 terms match</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hedging instrument and hedged item have matching critical terms (notional, maturity, underlying, payment dates). Qualitative assessment permitted.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Regression analysis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critical terms do not perfectly match. Statistical analysis using R-squared (&gt; 0.80) and slope (0.80 - 1.25).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Dollar-offset method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Comparing the cumulative change in fair value of the hedging instrument to the hedged item. Acceptable range: 80% - 125%.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Hypothetical derivative method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For cash flow hedges: comparing the hedging instrument to a hypothetical perfectly effective hedge.</w:t>
            </w:r>
          </w:p>
        </w:tc>
      </w:tr>
    </w:tbl>
    <w:p>
      <w:pPr>
        <w:pStyle w:val="Heading2"/>
        <w:spacing w:after="150" w:before="300"/>
      </w:pPr>
      <w:r>
        <w:rPr>
          <w:rFonts w:ascii="Georgia" w:cs="Georgia" w:eastAsia="Georgia" w:hAnsi="Georgia"/>
          <w:b/>
          <w:bCs/>
          <w:color w:val="333333"/>
          <w:sz w:val="26"/>
          <w:szCs w:val="26"/>
        </w:rPr>
        <w:t xml:space="preserve">3.5 Embedded Derivatives</w:t>
      </w:r>
    </w:p>
    <w:p>
      <w:pPr>
        <w:spacing w:after="150" w:before="0"/>
        <w:jc w:val="both"/>
      </w:pPr>
      <w:r>
        <w:rPr>
          <w:rFonts w:ascii="Calibri" w:cs="Calibri" w:eastAsia="Calibri" w:hAnsi="Calibri"/>
          <w:color w:val="333333"/>
          <w:sz w:val="22"/>
          <w:szCs w:val="22"/>
        </w:rPr>
        <w:t xml:space="preserve">Contracts shall be evaluated for embedded derivatives that require bifurcation when: the economic characteristics and risks of the embedded derivative are not clearly and closely related to the host contract, a separate instrument with the same terms as the embedded derivative would meet the definition of a derivative, and the hybrid instrument is not measured at fair value with changes in fair value recognized in earnings. The Controller shall evaluate all significant contracts for embedded derivatives at inception.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hedging strategy. Reviews derivative positions and hedge effectiveness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Executes derivative transactions per the hedging policy. Manages counterparty relationships. Monitors derivative positions.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derivative accounting methodology. Reviews hedge documentation. Approves hedge designations. Evaluates embedded derivatives.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Derivative Accountant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Records derivative fair values. Performs effectiveness testing. Maintains hedge documentation files. Prepares disclosures.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Evaluates tax treatment of derivative gains and losses. Reviews Section 1256 mark-to-market vs. Section 988 treatment.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Risk Management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Monitors aggregate derivative exposure. Assesses counterparty credit risk. Reports risk metrics.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Valuation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independent fair value estimates for complex derivatives (quarterly or as needed).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hedge documentation. Tests effectiveness assessments. Evaluates fair value measurements.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Derivative Transaction Lifecycle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Risk exposure identified (interest rate, commodity, FX per the respective risk management policy)</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Hedging strategy determined (instrument type, tenor, notional)</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Hedge documentation prepared BEFORE or CONTEMPORANEOUS with trade execution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Derivative executed with approved counterparty per the authorization matrix</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Trade confirmed with the counterparty within [24] hours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Derivative Accountant records the derivative at fair value on the trade date</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Hedge designation recorded in the hedge tracking system</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Ongoing: fair value updated at each reporting date; effectiveness assessed quarterly</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At maturity or de-designation: final accounting entries and documentation</w:t>
      </w:r>
    </w:p>
    <w:p>
      <w:pPr>
        <w:pStyle w:val="Heading2"/>
        <w:spacing w:after="150" w:before="300"/>
      </w:pPr>
      <w:r>
        <w:rPr>
          <w:rFonts w:ascii="Georgia" w:cs="Georgia" w:eastAsia="Georgia" w:hAnsi="Georgia"/>
          <w:b/>
          <w:bCs/>
          <w:color w:val="333333"/>
          <w:sz w:val="26"/>
          <w:szCs w:val="26"/>
        </w:rPr>
        <w:t xml:space="preserve">5.2 Fair Value Measurement</w:t>
      </w:r>
    </w:p>
    <w:p>
      <w:pPr>
        <w:spacing w:after="150" w:before="0"/>
        <w:jc w:val="both"/>
      </w:pPr>
      <w:r>
        <w:rPr>
          <w:rFonts w:ascii="Calibri" w:cs="Calibri" w:eastAsia="Calibri" w:hAnsi="Calibri"/>
          <w:color w:val="333333"/>
          <w:sz w:val="22"/>
          <w:szCs w:val="22"/>
        </w:rPr>
        <w:t xml:space="preserve">Derivative fair values shall be determined using: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Level 1: quoted prices in active markets (exchange-traded derivatives)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Level 2: observable inputs (interest rate curves, forward FX rates, commodity forward curves) — most OTC derivatives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Level 3: unobservable inputs (used only for complex, illiquid derivatives with CFO approval)</w:t>
      </w:r>
    </w:p>
    <w:p>
      <w:pPr>
        <w:spacing w:after="150" w:before="0"/>
        <w:jc w:val="both"/>
      </w:pPr>
      <w:r>
        <w:rPr>
          <w:rFonts w:ascii="Calibri" w:cs="Calibri" w:eastAsia="Calibri" w:hAnsi="Calibri"/>
          <w:color w:val="333333"/>
          <w:sz w:val="22"/>
          <w:szCs w:val="22"/>
        </w:rPr>
        <w:t xml:space="preserve">Fair values shall incorporate credit valuation adjustments (CVA) for counterparty credit risk and debit valuation adjustments (DVA) for [Company Name]'s own credit risk. Fair values shall be independently verified at least [annually] against counterparty valuations or third-party pricing services.</w:t>
      </w:r>
    </w:p>
    <w:p>
      <w:pPr>
        <w:pStyle w:val="Heading2"/>
        <w:spacing w:after="150" w:before="300"/>
      </w:pPr>
      <w:r>
        <w:rPr>
          <w:rFonts w:ascii="Georgia" w:cs="Georgia" w:eastAsia="Georgia" w:hAnsi="Georgia"/>
          <w:b/>
          <w:bCs/>
          <w:color w:val="333333"/>
          <w:sz w:val="26"/>
          <w:szCs w:val="26"/>
        </w:rPr>
        <w:t xml:space="preserve">5.3 Effectiveness Testing</w:t>
      </w:r>
    </w:p>
    <w:p>
      <w:pPr>
        <w:spacing w:after="150" w:before="0"/>
        <w:jc w:val="both"/>
      </w:pPr>
      <w:r>
        <w:rPr>
          <w:rFonts w:ascii="Calibri" w:cs="Calibri" w:eastAsia="Calibri" w:hAnsi="Calibri"/>
          <w:color w:val="333333"/>
          <w:sz w:val="22"/>
          <w:szCs w:val="22"/>
        </w:rPr>
        <w:t xml:space="preserve">Hedge effectiveness shall be tested: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At inception: prospective assessment that the hedge is expected to be highly effective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ongoing assessment confirming the hedge remains highly effective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Upon any change in the hedged item, hedging instrument, or hedging strategy</w:t>
      </w:r>
    </w:p>
    <w:p>
      <w:pPr>
        <w:spacing w:after="150" w:before="0"/>
        <w:jc w:val="both"/>
      </w:pPr>
      <w:r>
        <w:rPr>
          <w:rFonts w:ascii="Calibri" w:cs="Calibri" w:eastAsia="Calibri" w:hAnsi="Calibri"/>
          <w:color w:val="333333"/>
          <w:sz w:val="22"/>
          <w:szCs w:val="22"/>
        </w:rPr>
        <w:t xml:space="preserve">Testing results and supporting calculations shall be documented in the hedge effectiveness testing workbook and reviewed by the Controller.</w:t>
      </w:r>
    </w:p>
    <w:p>
      <w:pPr>
        <w:pStyle w:val="Heading2"/>
        <w:spacing w:after="150" w:before="300"/>
      </w:pPr>
      <w:r>
        <w:rPr>
          <w:rFonts w:ascii="Georgia" w:cs="Georgia" w:eastAsia="Georgia" w:hAnsi="Georgia"/>
          <w:b/>
          <w:bCs/>
          <w:color w:val="333333"/>
          <w:sz w:val="26"/>
          <w:szCs w:val="26"/>
        </w:rPr>
        <w:t xml:space="preserve">5.4 Journal Entries by Hedge Type</w:t>
      </w:r>
    </w:p>
    <w:p>
      <w:pPr>
        <w:pStyle w:val="Heading3"/>
        <w:spacing w:after="100" w:before="200"/>
      </w:pPr>
      <w:r>
        <w:rPr>
          <w:rFonts w:ascii="Georgia" w:cs="Georgia" w:eastAsia="Georgia" w:hAnsi="Georgia"/>
          <w:b/>
          <w:bCs/>
          <w:color w:val="444444"/>
          <w:sz w:val="22"/>
          <w:szCs w:val="22"/>
        </w:rPr>
        <w:t xml:space="preserve">5.4.1 Fair Value Hedge</w:t>
      </w:r>
    </w:p>
    <w:p>
      <w:pPr>
        <w:spacing w:after="150" w:before="0"/>
        <w:jc w:val="both"/>
      </w:pPr>
      <w:r>
        <w:rPr>
          <w:rFonts w:ascii="Calibri" w:cs="Calibri" w:eastAsia="Calibri" w:hAnsi="Calibri"/>
          <w:color w:val="333333"/>
          <w:sz w:val="22"/>
          <w:szCs w:val="22"/>
        </w:rPr>
        <w:t xml:space="preserve">Hedging instrument: Dr/Cr Derivative Asset/Liability and Dr/Cr Earnings. Hedged item: Dr/Cr Hedged Item and Dr/Cr Earnings (for the hedged risk only). Net P&amp;L effect: only the ineffective portion hits earnings.</w:t>
      </w:r>
    </w:p>
    <w:p>
      <w:pPr>
        <w:pStyle w:val="Heading3"/>
        <w:spacing w:after="100" w:before="200"/>
      </w:pPr>
      <w:r>
        <w:rPr>
          <w:rFonts w:ascii="Georgia" w:cs="Georgia" w:eastAsia="Georgia" w:hAnsi="Georgia"/>
          <w:b/>
          <w:bCs/>
          <w:color w:val="444444"/>
          <w:sz w:val="22"/>
          <w:szCs w:val="22"/>
        </w:rPr>
        <w:t xml:space="preserve">5.4.2 Cash Flow Hedge</w:t>
      </w:r>
    </w:p>
    <w:p>
      <w:pPr>
        <w:spacing w:after="150" w:before="0"/>
        <w:jc w:val="both"/>
      </w:pPr>
      <w:r>
        <w:rPr>
          <w:rFonts w:ascii="Calibri" w:cs="Calibri" w:eastAsia="Calibri" w:hAnsi="Calibri"/>
          <w:color w:val="333333"/>
          <w:sz w:val="22"/>
          <w:szCs w:val="22"/>
        </w:rPr>
        <w:t xml:space="preserve">Effective portion: Dr/Cr Derivative Asset/Liability and Dr/Cr OCI. Ineffective portion: Dr/Cr Derivative and Dr/Cr Earnings. Reclassification: Dr/Cr OCI and Dr/Cr Earnings when the forecasted transaction affects earnings.</w:t>
      </w:r>
    </w:p>
    <w:p>
      <w:pPr>
        <w:pStyle w:val="Heading3"/>
        <w:spacing w:after="100" w:before="200"/>
      </w:pPr>
      <w:r>
        <w:rPr>
          <w:rFonts w:ascii="Georgia" w:cs="Georgia" w:eastAsia="Georgia" w:hAnsi="Georgia"/>
          <w:b/>
          <w:bCs/>
          <w:color w:val="444444"/>
          <w:sz w:val="22"/>
          <w:szCs w:val="22"/>
        </w:rPr>
        <w:t xml:space="preserve">5.4.3 Net Investment Hedge</w:t>
      </w:r>
    </w:p>
    <w:p>
      <w:pPr>
        <w:spacing w:after="150" w:before="0"/>
        <w:jc w:val="both"/>
      </w:pPr>
      <w:r>
        <w:rPr>
          <w:rFonts w:ascii="Calibri" w:cs="Calibri" w:eastAsia="Calibri" w:hAnsi="Calibri"/>
          <w:color w:val="333333"/>
          <w:sz w:val="22"/>
          <w:szCs w:val="22"/>
        </w:rPr>
        <w:t xml:space="preserve">Effective portion: Dr/Cr Derivative Asset/Liability and Dr/Cr CTA (within AOCI). Ineffective portion: Dr/Cr Earnings. CTA remains in AOCI until the foreign operation is sold or liquidated.</w:t>
      </w:r>
    </w:p>
    <w:p>
      <w:pPr>
        <w:pStyle w:val="Heading2"/>
        <w:spacing w:after="150" w:before="300"/>
      </w:pPr>
      <w:r>
        <w:rPr>
          <w:rFonts w:ascii="Georgia" w:cs="Georgia" w:eastAsia="Georgia" w:hAnsi="Georgia"/>
          <w:b/>
          <w:bCs/>
          <w:color w:val="333333"/>
          <w:sz w:val="26"/>
          <w:szCs w:val="26"/>
        </w:rPr>
        <w:t xml:space="preserve">5.5 De-Designation</w:t>
      </w:r>
    </w:p>
    <w:p>
      <w:pPr>
        <w:spacing w:after="150" w:before="0"/>
        <w:jc w:val="both"/>
      </w:pPr>
      <w:r>
        <w:rPr>
          <w:rFonts w:ascii="Calibri" w:cs="Calibri" w:eastAsia="Calibri" w:hAnsi="Calibri"/>
          <w:color w:val="333333"/>
          <w:sz w:val="22"/>
          <w:szCs w:val="22"/>
        </w:rPr>
        <w:t xml:space="preserve">A hedging relationship shall be de-designated when: the derivative expires, is sold, or is terminated, the hedged item is sold, settled, or no longer exists, the forecasted transaction is no longer probable (cash flow hedge), the hedge no longer meets effectiveness requirements, or management voluntarily de-designates. Upon de-designation: fair value hedge — basis adjustment to the hedged item is amortized to earnings, cash flow hedge — amounts in OCI remain until the forecasted transaction affects earnings (or are reclassified to earnings immediately if the transaction is no longer probable), and the derivative continues to be measured at fair value with changes in earnings.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Derivative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Hedge designation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Derivative execution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risk management policy authorization matrix</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See FX Policy / Treasury Policy</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Effectiveness methodology selection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De-designation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Embedded derivative evaluation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material contracts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Level 3 fair value measurement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Counterparty credit limit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Hedge accounting policy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 + External Auditor discussion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If a hedge fails effectiveness testing, the Controller shall: de-designate the hedge immediately, assess whether the derivative should be re-designated in a new hedging relationship, quantify the earnings impact of the de-designation, and report to the CFO. Derivatives with fair value exceeding [$X] shall be independently valued at least quarterly. Counterparty credit downgrades below the minimum rating shall trigger a review of all derivatives with that counterparty.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derivative fair value update and P&amp;L impact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hedge effectiveness testing and documentation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counterparty credit exposure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fair value verification against counterparty or third-party valuations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embedded derivative assessment for new material contracts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ASC 815 and ASC 820 disclosure preparation</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Hedge effectiveness (all designated hedges)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80-125%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Hedge documentation completed before or at trade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Fair value verification variance (internal vs. external)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Derivative P&amp;L impact (ineffectiveness)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Minimized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Counterparty exposure within limits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Derivative disclosure completeness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 ASC 815 checklist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Foreign Currency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&amp; Covenant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815, Derivatives and Hedging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820, Fair Value Measurement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815-15 (Embedded Derivatives)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815-20 (Hedging — General)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Hedge Documentation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Hedge ID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Unique identifier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Designation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Date of hedge inception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Hedging instrument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Type, notional, maturity, counterparty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Hedged item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Specific asset, liability, or forecasted transaction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Risk hedged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Interest rate / commodity / FX / credit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Hedge type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Fair value / cash flow / net investment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Effectiveness method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Critical terms / regression / dollar-offset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Assessment frequency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Quarterly (minimum)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Risk management objective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Why this hedge was executed</w:t>
            </w:r>
          </w:p>
        </w:tc>
      </w:tr>
    </w:tbl>
    <w:p>
      <w:pPr>
        <w:pStyle w:val="Heading2"/>
        <w:spacing w:after="150" w:before="300"/>
      </w:pPr>
      <w:r>
        <w:rPr>
          <w:rFonts w:ascii="Georgia" w:cs="Georgia" w:eastAsia="Georgia" w:hAnsi="Georgia"/>
          <w:b/>
          <w:bCs/>
          <w:color w:val="333333"/>
          <w:sz w:val="26"/>
          <w:szCs w:val="26"/>
        </w:rPr>
        <w:t xml:space="preserve">Appendix B — Derivative Position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Instrument type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Swap / forward / option / future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Notional amount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Face amount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Maturity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Expiration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Fair value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Current mark-to-market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Hedge designation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Yes/No; hedge type if designated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Counterparty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and credit rating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P&amp;L impact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Gain/loss recognized in earnings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OCI impact (period)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Effective portion in OCI (cash flow hedges)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Derivative &amp; Hedging Accounting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2026-07-13T17:26:10.093Z</dcterms:created>
  <dcterms:modified xsi:type="dcterms:W3CDTF">2026-07-13T17:26:10.093Z</dcterms:modified>
</cp:coreProperties>
</file>

<file path=docProps/custom.xml><?xml version="1.0" encoding="utf-8"?>
<Properties xmlns="http://schemas.openxmlformats.org/officeDocument/2006/custom-properties" xmlns:vt="http://schemas.openxmlformats.org/officeDocument/2006/docPropsVTypes"/>
</file>