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Royalty &amp; Licensing Revenue/Expense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Royalty and Licensing Revenue and Expense Policy establishes the standards, procedures, and controls governing how [Company Name] accounts for royalty income, licensing revenue, and royalty expenses arising from intellectual property arrangements. The policy ensures compliance with ASC 606 (licensing revenue), ASC 928/ASC 985 (media and software licensing), and provides consistent treatment of both inbound and outbound royalty arrangements.</w:t>
      </w:r>
    </w:p>
    <w:p>
      <w:pPr>
        <w:spacing w:after="150" w:before="0"/>
        <w:jc w:val="both"/>
      </w:pPr>
      <w:r>
        <w:rPr>
          <w:rFonts w:ascii="Calibri" w:cs="Calibri" w:eastAsia="Calibri" w:hAnsi="Calibri"/>
          <w:color w:val="333333"/>
          <w:sz w:val="22"/>
          <w:szCs w:val="22"/>
        </w:rPr>
        <w:t xml:space="preserve">This policy applies to all royalty and licensing arrangements where [Company Name] is either: the licensor (granting rights to IP and receiving royalties), or the licensee (receiving rights to IP and paying royalties). IP types covered include: patents and technology, trademarks and brand names, copyrights and content, software licenses, trade secrets and know-how, and franchise rights.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Properly classify licenses as right-to-access or right-to-use per ASC 606 for revenue recognition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Recognize royalty revenue in the correct period based on the nature of the license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Accrue royalty expenses based on the best estimate of amounts owed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royalty audits (inbound and outbound) to protect IP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withholding tax treatment on cross-border royalty payments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accurate royalty tracking for both receivable and payable positions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Royalty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payment made by a licensee to a licensor for the right to use intellectual property, typically calculated as a percentage of revenue or a per-unit fee.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License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contractual right granted by the IP owner (licensor) to another party (licensee) to use the IP under specified terms.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Right-to-Access License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license that provides the customer with access to the licensor's IP as it exists throughout the license period; revenue recognized over time (ASC 606).</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Right-to-Use License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license that provides the customer with a right to use the licensor's IP as it exists at the point in time when the license is granted; revenue recognized at a point in time (ASC 606).</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Minimum Guarantee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minimum royalty payment the licensee must pay regardless of actual sales or usage.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Sales-Based Royalty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royalty calculated as a percentage of the licensee's sales of products using the licensed IP.</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Usage-Based Royalty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royalty calculated based on the licensee's usage of the licensed IP (units produced, downloads, plays).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Royalty Advance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upfront payment against future royalty obligations, recouped from earned royalties.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Royalty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examination of a licensee's records to verify that royalty payments are accurate and complete.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Cross-License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arrangement where two parties grant each other licenses to their respective IP, with or without balancing payments.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Licensing Revenue Classification (ASC 606)</w:t>
      </w:r>
    </w:p>
    <w:p>
      <w:pPr>
        <w:spacing w:after="150" w:before="0"/>
        <w:jc w:val="both"/>
      </w:pPr>
      <w:r>
        <w:rPr>
          <w:rFonts w:ascii="Calibri" w:cs="Calibri" w:eastAsia="Calibri" w:hAnsi="Calibri"/>
          <w:color w:val="333333"/>
          <w:sz w:val="22"/>
          <w:szCs w:val="22"/>
        </w:rPr>
        <w:t xml:space="preserve">[Company Name] shall classify each license granted to a customer as either right-to-access or right-to-use: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License Type</w:t>
            </w:r>
          </w:p>
        </w:tc>
        <w:tc>
          <w:tcPr>
            <w:tcW w:type="dxa" w:w="6160"/>
            <w:shd w:fill="0C0C0C" w:val="clear"/>
          </w:tcPr>
          <w:p>
            <w:pPr>
              <w:spacing w:after="60" w:before="60"/>
            </w:pPr>
            <w:r>
              <w:rPr>
                <w:rFonts w:ascii="Calibri" w:cs="Calibri" w:eastAsia="Calibri" w:hAnsi="Calibri"/>
                <w:b/>
                <w:bCs/>
                <w:color w:val="D4AF37"/>
                <w:sz w:val="20"/>
                <w:szCs w:val="20"/>
              </w:rPr>
              <w:t xml:space="preserve">Criteria and Revenue Recognition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Right-to-Access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licensor has ongoing activities that significantly affect the IP the customer is accessing; the customer is directly exposed to the effects of those activities; and those activities do not transfer a good or service to the customer. Revenue recognized OVER TIME.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Right-to-Use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license does not meet all three criteria for right-to-access. Revenue recognized at a POINT IN TIME when the license is transferred to the customer.</w:t>
            </w:r>
          </w:p>
        </w:tc>
      </w:tr>
    </w:tbl>
    <w:p>
      <w:pPr>
        <w:pStyle w:val="Heading2"/>
        <w:spacing w:after="150" w:before="300"/>
      </w:pPr>
      <w:r>
        <w:rPr>
          <w:rFonts w:ascii="Georgia" w:cs="Georgia" w:eastAsia="Georgia" w:hAnsi="Georgia"/>
          <w:b/>
          <w:bCs/>
          <w:color w:val="333333"/>
          <w:sz w:val="26"/>
          <w:szCs w:val="26"/>
        </w:rPr>
        <w:t xml:space="preserve">3.2 Sales-Based and Usage-Based Royalty Exception</w:t>
      </w:r>
    </w:p>
    <w:p>
      <w:pPr>
        <w:spacing w:after="150" w:before="0"/>
        <w:jc w:val="both"/>
      </w:pPr>
      <w:r>
        <w:rPr>
          <w:rFonts w:ascii="Calibri" w:cs="Calibri" w:eastAsia="Calibri" w:hAnsi="Calibri"/>
          <w:color w:val="333333"/>
          <w:sz w:val="22"/>
          <w:szCs w:val="22"/>
        </w:rPr>
        <w:t xml:space="preserve">Per ASC 606-10-55-65, sales-based or usage-based royalties related to licenses of IP are recognized as revenue when the later of: the subsequent sale or usage occurs, or the performance obligation to which the royalty has been allocated is satisfied. This exception means that even for right-to-use licenses, variable royalties based on sales or usage are recognized as the sales or usage occur — not upfront.</w:t>
      </w:r>
    </w:p>
    <w:p>
      <w:pPr>
        <w:pStyle w:val="Heading2"/>
        <w:spacing w:after="150" w:before="300"/>
      </w:pPr>
      <w:r>
        <w:rPr>
          <w:rFonts w:ascii="Georgia" w:cs="Georgia" w:eastAsia="Georgia" w:hAnsi="Georgia"/>
          <w:b/>
          <w:bCs/>
          <w:color w:val="333333"/>
          <w:sz w:val="26"/>
          <w:szCs w:val="26"/>
        </w:rPr>
        <w:t xml:space="preserve">3.3 Minimum Guarantees</w:t>
      </w:r>
    </w:p>
    <w:p>
      <w:pPr>
        <w:spacing w:after="150" w:before="0"/>
        <w:jc w:val="both"/>
      </w:pPr>
      <w:r>
        <w:rPr>
          <w:rFonts w:ascii="Calibri" w:cs="Calibri" w:eastAsia="Calibri" w:hAnsi="Calibri"/>
          <w:color w:val="333333"/>
          <w:sz w:val="22"/>
          <w:szCs w:val="22"/>
        </w:rPr>
        <w:t xml:space="preserve">Minimum guarantee payments shall be: recognized as revenue over the license term (for right-to-access licenses) or at the point of license transfer (for right-to-use licenses), offset against earned royalties as sales or usage occurs, and evaluated for impairment if the licensee is unlikely to meet the minimum (receivable assessment).</w:t>
      </w:r>
    </w:p>
    <w:p>
      <w:pPr>
        <w:pStyle w:val="Heading2"/>
        <w:spacing w:after="150" w:before="300"/>
      </w:pPr>
      <w:r>
        <w:rPr>
          <w:rFonts w:ascii="Georgia" w:cs="Georgia" w:eastAsia="Georgia" w:hAnsi="Georgia"/>
          <w:b/>
          <w:bCs/>
          <w:color w:val="333333"/>
          <w:sz w:val="26"/>
          <w:szCs w:val="26"/>
        </w:rPr>
        <w:t xml:space="preserve">3.4 Royalty Expense (Licensee)</w:t>
      </w:r>
    </w:p>
    <w:p>
      <w:pPr>
        <w:spacing w:after="150" w:before="0"/>
        <w:jc w:val="both"/>
      </w:pPr>
      <w:r>
        <w:rPr>
          <w:rFonts w:ascii="Calibri" w:cs="Calibri" w:eastAsia="Calibri" w:hAnsi="Calibri"/>
          <w:color w:val="333333"/>
          <w:sz w:val="22"/>
          <w:szCs w:val="22"/>
        </w:rPr>
        <w:t xml:space="preserve">When [Company Name] is the licensee paying royalties: royalties shall be accrued in the period the underlying sales or usage occurs (matching principle), accruals shall be based on the best estimate of amounts owed (actual data when available, projections when necessary), minimum guarantee payments shall be recorded as a prepaid asset and amortized over the license term or against earned royalties, and royalty agreements shall be reviewed by Legal for proper withholding tax treatment.</w:t>
      </w:r>
    </w:p>
    <w:p>
      <w:pPr>
        <w:pStyle w:val="Heading2"/>
        <w:spacing w:after="150" w:before="300"/>
      </w:pPr>
      <w:r>
        <w:rPr>
          <w:rFonts w:ascii="Georgia" w:cs="Georgia" w:eastAsia="Georgia" w:hAnsi="Georgia"/>
          <w:b/>
          <w:bCs/>
          <w:color w:val="333333"/>
          <w:sz w:val="26"/>
          <w:szCs w:val="26"/>
        </w:rPr>
        <w:t xml:space="preserve">3.5 Royalty Audit Rights</w:t>
      </w:r>
    </w:p>
    <w:p>
      <w:pPr>
        <w:spacing w:after="150" w:before="0"/>
        <w:jc w:val="both"/>
      </w:pPr>
      <w:r>
        <w:rPr>
          <w:rFonts w:ascii="Calibri" w:cs="Calibri" w:eastAsia="Calibri" w:hAnsi="Calibri"/>
          <w:color w:val="333333"/>
          <w:sz w:val="22"/>
          <w:szCs w:val="22"/>
        </w:rPr>
        <w:t xml:space="preserve">[Company Name] shall exercise royalty audit rights for significant licensing arrangements: licensees paying [Company Name] shall be audited when: royalty income exceeds [$X] annually, or payments appear inconsistent with expected sales levels. Audits shall be conducted by an independent accounting firm per the audit rights in the license agreement. Audit findings are reported to the Controller and CFO.</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significant licensing arrangements. Reviews royalty revenue and expense trends.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the royalty accounting methodology. Approves right-to-access vs. right-to-use determinations. Reviews accruals.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Revenue Accountant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Records royalty revenue based on licensee reports. Calculates and records royalty accruals. Reconciles royalty receivables.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 / Cost Accountant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Processes royalty expense payments. Calculates royalty accruals for outbound royalties. Reconciles royalty payables.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 / IP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Negotiates license agreements. Manages royalty audit rights. Advises on IP protection and enforcement.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Development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Identifies licensing opportunities. Provides commercial context for license arrangements.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withholding tax on cross-border royalties. Reviews transfer pricing for intercompany royalties. Ensures treaty benefit claims.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Tests royalty calculation accuracy. Reviews licensee compliance. Supports royalty audit exercises.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Revenue Recognition for Licensing</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Legal and Controller classify the license as right-to-access or right-to-use per ASC 606 criteria</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Determination documented in the revenue recognition memo for the contract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For right-to-access: revenue recognized over the license term (straight-line or other systematic basis)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For right-to-use: revenue recognized at the point the license is transferred (functional IP delivered)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For sales/usage-based royalties: revenue recognized when the sale or usage occurs per the royalty exception</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Royalty revenue accrued based on licensee sales reports (actual) or estimated if reports are delayed</w:t>
      </w:r>
    </w:p>
    <w:p>
      <w:pPr>
        <w:pStyle w:val="Heading2"/>
        <w:spacing w:after="150" w:before="300"/>
      </w:pPr>
      <w:r>
        <w:rPr>
          <w:rFonts w:ascii="Georgia" w:cs="Georgia" w:eastAsia="Georgia" w:hAnsi="Georgia"/>
          <w:b/>
          <w:bCs/>
          <w:color w:val="333333"/>
          <w:sz w:val="26"/>
          <w:szCs w:val="26"/>
        </w:rPr>
        <w:t xml:space="preserve">5.2 Licensee Royalty Reporting</w:t>
      </w:r>
    </w:p>
    <w:p>
      <w:pPr>
        <w:spacing w:after="150" w:before="0"/>
        <w:jc w:val="both"/>
      </w:pPr>
      <w:r>
        <w:rPr>
          <w:rFonts w:ascii="Calibri" w:cs="Calibri" w:eastAsia="Calibri" w:hAnsi="Calibri"/>
          <w:color w:val="333333"/>
          <w:sz w:val="22"/>
          <w:szCs w:val="22"/>
        </w:rPr>
        <w:t xml:space="preserve">License agreements shall require licensees to provide royalty reports: frequency (monthly, quarterly, or semi-annually per the agreement), content (units sold/used, revenue, royalty rate applied, royalty amount owed), deadline (typically [30-45] days after the reporting period), and certification of accuracy by an authorized officer of the licensee. When reports are delayed, the Revenue Accountant shall estimate the royalty accrual based on historical trends and known market conditions.</w:t>
      </w:r>
    </w:p>
    <w:p>
      <w:pPr>
        <w:pStyle w:val="Heading2"/>
        <w:spacing w:after="150" w:before="300"/>
      </w:pPr>
      <w:r>
        <w:rPr>
          <w:rFonts w:ascii="Georgia" w:cs="Georgia" w:eastAsia="Georgia" w:hAnsi="Georgia"/>
          <w:b/>
          <w:bCs/>
          <w:color w:val="333333"/>
          <w:sz w:val="26"/>
          <w:szCs w:val="26"/>
        </w:rPr>
        <w:t xml:space="preserve">5.3 Royalty Expense Accrual</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At period-end, the Cost Accountant identifies all products/services using licensed IP</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Actual sales or usage data is applied against contractual royalty rates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Royalty expense accrued: Dr. Royalty Expense (or COGS) / Cr. Royalty Payable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When the licensee report is received, the accrual is trued up to actual</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Royalty payment processed per the license agreement schedule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For minimum guarantees: shortfall between earned royalties and the minimum is expensed at period-end</w:t>
      </w:r>
    </w:p>
    <w:p>
      <w:pPr>
        <w:pStyle w:val="Heading2"/>
        <w:spacing w:after="150" w:before="300"/>
      </w:pPr>
      <w:r>
        <w:rPr>
          <w:rFonts w:ascii="Georgia" w:cs="Georgia" w:eastAsia="Georgia" w:hAnsi="Georgia"/>
          <w:b/>
          <w:bCs/>
          <w:color w:val="333333"/>
          <w:sz w:val="26"/>
          <w:szCs w:val="26"/>
        </w:rPr>
        <w:t xml:space="preserve">5.4 Cross-Border Royalty Withholding</w:t>
      </w:r>
    </w:p>
    <w:p>
      <w:pPr>
        <w:spacing w:after="150" w:before="0"/>
        <w:jc w:val="both"/>
      </w:pPr>
      <w:r>
        <w:rPr>
          <w:rFonts w:ascii="Calibri" w:cs="Calibri" w:eastAsia="Calibri" w:hAnsi="Calibri"/>
          <w:color w:val="333333"/>
          <w:sz w:val="22"/>
          <w:szCs w:val="22"/>
        </w:rPr>
        <w:t xml:space="preserve">Royalty payments to foreign licensors (or received from foreign licensees) may be subject to withholding tax: the Tax team shall determine the applicable withholding rate considering domestic law and tax treaty benefits, proper treaty forms (e.g., IRS Form W-8BEN-E) shall be obtained from foreign payees before payment, withholding tax is remitted to the appropriate tax authority, and foreign tax credits are claimed where available. For intercompany royalties, transfer pricing documentation must support the arm's length royalty rate.</w:t>
      </w:r>
    </w:p>
    <w:p>
      <w:pPr>
        <w:pStyle w:val="Heading2"/>
        <w:spacing w:after="150" w:before="300"/>
      </w:pPr>
      <w:r>
        <w:rPr>
          <w:rFonts w:ascii="Georgia" w:cs="Georgia" w:eastAsia="Georgia" w:hAnsi="Georgia"/>
          <w:b/>
          <w:bCs/>
          <w:color w:val="333333"/>
          <w:sz w:val="26"/>
          <w:szCs w:val="26"/>
        </w:rPr>
        <w:t xml:space="preserve">5.5 Royalty Audit Execution</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Controller identifies licensee accounts to audit based on materiality and risk indicators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Audit firm engaged per the license agreement's audit rights clause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Audit scope defined (typically covering [2-3] years of royalty periods)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Audit findings reviewed with the licensee; underpayments collected; disputes resolved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Audit results reported to the CFO</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For [Company Name] as licensee: cooperate fully with licensor audits; Controller reviews audit findings before responding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Royalty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license agreement (licensor)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$500K annual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Legal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license agreement (licensor)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$500K annual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Legal + 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license agreement (licensee)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$250K annual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Legal + Department Head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license agreement (licensee)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$250K annual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Legal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Right-to-access vs. right-to-use determination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Royalty audit initiation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Royalty audit settlement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Cross-border withholding rate determination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Intercompany royalty rate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Tax Director + Controller</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Licensee royalty reports received more than [60] days late shall be escalated to Legal for enforcement per the license agreement. Royalty audits revealing underpayments exceeding [20%] shall be escalated to the CFO and Legal for potential enforcement action. Disputes with licensors over royalty calculations shall be escalated to the Controller and Legal for resolution per the license agreement's dispute resolution mechanism.</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royalty revenue accrual and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royalty expense accrual and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comparison of estimated vs. actual royalty amounts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royalty audit program (licensee audits)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license agreement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transfer pricing review for intercompany royalties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Royalty revenue accrual accuracy (estimate vs. actual)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[10%]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Royalty expense accrual accuracy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[10%]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Licensee royalty reports received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Royalty audit recovery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Track and maximize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Withholding tax compliance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Intercompany royalty transfer pricing documented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Revenue Recognition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Intercompany Transactions &amp; Transfer Pricing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Receivable &amp; Credit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 Revenue from Contracts with Customers (licensing guidance)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606-10-55-54 through 55-65 (Licensing of IP)</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928, Entertainment — Music (if applicable)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License Classification Decision Tree</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Does [Company Name] perform ongoing activities that significantly affect the IP? No = Right-to-Use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Is the customer directly exposed to the effects of those activities? No = Right-to-Use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Do those activities transfer a good or service to the customer? Yes = Not a licensing issue (separate performance obligation)</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All three criteria met? = Right-to-Access (revenue over time)</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Any criterion not met? = Right-to-Use (revenue at a point in time)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Are royalties sales-based or usage-based? Yes = Royalty exception applies regardless of classification</w:t>
      </w:r>
    </w:p>
    <w:p>
      <w:pPr>
        <w:pStyle w:val="Heading2"/>
        <w:spacing w:after="150" w:before="300"/>
      </w:pPr>
      <w:r>
        <w:rPr>
          <w:rFonts w:ascii="Georgia" w:cs="Georgia" w:eastAsia="Georgia" w:hAnsi="Georgia"/>
          <w:b/>
          <w:bCs/>
          <w:color w:val="333333"/>
          <w:sz w:val="26"/>
          <w:szCs w:val="26"/>
        </w:rPr>
        <w:t xml:space="preserve">Appendix B — Royalty Receivable/Payable Register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Counterparty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Licensee or licensor name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Agreement reference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License agreement number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IP description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What IP is licensed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Royalty basis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Sales-based / usage-based / fixed / minimum guarantee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Percentage or per-unit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Reporting frequency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Monthly / quarterly / semi-annual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Current period accrual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Estimated or actual royalty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Cumulative balance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Receivable or payable balance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right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Next eligible audit date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Royalty &amp; Licensing Revenue/Expense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2026-07-13T17:26:10.001Z</dcterms:created>
  <dcterms:modified xsi:type="dcterms:W3CDTF">2026-07-13T17:26:10.001Z</dcterms:modified>
</cp:coreProperties>
</file>

<file path=docProps/custom.xml><?xml version="1.0" encoding="utf-8"?>
<Properties xmlns="http://schemas.openxmlformats.org/officeDocument/2006/custom-properties" xmlns:vt="http://schemas.openxmlformats.org/officeDocument/2006/docPropsVTypes"/>
</file>