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Real Estate &amp; Lease Administration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Real Estate and Lease Administration Policy establishes the standards, procedures, and controls governing how [Company Name] manages the financial aspects of its real estate portfolio and lease obligations. The policy ensures compliance with ASC 842 (Leases), proper administration of lease agreements, and effective management of occupancy costs.</w:t>
      </w:r>
    </w:p>
    <w:p>
      <w:pPr>
        <w:spacing w:after="150" w:before="0"/>
        <w:jc w:val="both"/>
      </w:pPr>
      <w:r>
        <w:rPr>
          <w:rFonts w:ascii="Calibri" w:cs="Calibri" w:eastAsia="Calibri" w:hAnsi="Calibri"/>
          <w:color w:val="333333"/>
          <w:sz w:val="22"/>
          <w:szCs w:val="22"/>
        </w:rPr>
        <w:t xml:space="preserve">This policy applies to all real property arrangements including: office and headquarters leases, warehouse and distribution center leases, retail store leases, data center and colocation leases, ground leases, owned real estate, sublease arrangements, and build-to-suit and sale-leaseback transactions.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complete and accurate lease portfolio database supporting ASC 842 compliance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Track critical lease dates (expirations, renewal options, termination windows) to prevent missed deadlines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proper ASC 842 classification, measurement, and disclosure for all lease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Optimize occupancy costs through proactive lease administration and negotiation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Abstract all lease agreements to capture financial and operational terms accurately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common area maintenance (CAM) reconciliations and operating expense pass-throughs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Abstraction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process of extracting key financial and operational terms from a lease agreement into a structured database.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Right-of-Use (ROU) Asset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lessee's right to use the underlying asset for the lease term, recognized on the balance sheet per ASC 842.</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Liability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lessee's obligation to make lease payments, measured at the present value of future lease payments.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Incremental Borrowing Rate (IBR)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rate of interest [Company Name] would have to pay to borrow on a collateralized basis over a similar term in a similar economic environment.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Operating Lease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lease that does not meet any of the five finance lease classification criteria; expense recognized on a straight-line basis.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Finance Lease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lease that meets one of the five classification criteria; amortization and interest expense recognized separately.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Common Area Maintenance — shared building expenses allocated to tenants based on their proportionate share of the building.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 Modification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change to the scope or consideration of a lease not part of the original terms (renegotiation, amendment, extension).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Sublease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arrangement where [Company Name] as the original lessee (sublessor) grants a third party (sublessee) the right to use the leased asset.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Critical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date in a lease agreement that requires action (renewal notice, termination notice, rent escalation, option exercise).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Lease Portfolio Management</w:t>
      </w:r>
    </w:p>
    <w:p>
      <w:pPr>
        <w:spacing w:after="150" w:before="0"/>
        <w:jc w:val="both"/>
      </w:pPr>
      <w:r>
        <w:rPr>
          <w:rFonts w:ascii="Calibri" w:cs="Calibri" w:eastAsia="Calibri" w:hAnsi="Calibri"/>
          <w:color w:val="333333"/>
          <w:sz w:val="22"/>
          <w:szCs w:val="22"/>
        </w:rPr>
        <w:t xml:space="preserve">[Company Name] shall maintain a centralized lease administration system containing all active leases with: complete lease abstraction (all financial and operational terms), critical date tracking with automated alerts ([90]-day advance notice), payment schedules and escalation terms, option provisions (renewal, termination, purchase, expansion), insurance and maintenance requirements, and current and projected occupancy costs.</w:t>
      </w:r>
    </w:p>
    <w:p>
      <w:pPr>
        <w:pStyle w:val="Heading2"/>
        <w:spacing w:after="150" w:before="300"/>
      </w:pPr>
      <w:r>
        <w:rPr>
          <w:rFonts w:ascii="Georgia" w:cs="Georgia" w:eastAsia="Georgia" w:hAnsi="Georgia"/>
          <w:b/>
          <w:bCs/>
          <w:color w:val="333333"/>
          <w:sz w:val="26"/>
          <w:szCs w:val="26"/>
        </w:rPr>
        <w:t xml:space="preserve">3.2 ASC 842 Classification</w:t>
      </w:r>
    </w:p>
    <w:p>
      <w:pPr>
        <w:spacing w:after="150" w:before="0"/>
        <w:jc w:val="both"/>
      </w:pPr>
      <w:r>
        <w:rPr>
          <w:rFonts w:ascii="Calibri" w:cs="Calibri" w:eastAsia="Calibri" w:hAnsi="Calibri"/>
          <w:color w:val="333333"/>
          <w:sz w:val="22"/>
          <w:szCs w:val="22"/>
        </w:rPr>
        <w:t xml:space="preserve">Each lease shall be classified at inception (or modification) as either an operating lease or a finance lease based on the five criteria:</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Transfer of ownership to the lessee by the end of the lease term</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Purchase option that the lessee is reasonably certain to exercise</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Lease term is for the major part (&gt;= 75% threshold applied by [Company Name]) of the remaining economic life of the asset</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Present value of lease payments equals or exceeds substantially all (&gt;= 90% threshold applied by [Company Name]) of the fair value of the asset</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The asset is specialized such that it has no alternative use to the lessor</w:t>
      </w:r>
    </w:p>
    <w:p>
      <w:pPr>
        <w:spacing w:after="150" w:before="0"/>
        <w:jc w:val="both"/>
      </w:pPr>
      <w:r>
        <w:rPr>
          <w:rFonts w:ascii="Calibri" w:cs="Calibri" w:eastAsia="Calibri" w:hAnsi="Calibri"/>
          <w:color w:val="333333"/>
          <w:sz w:val="22"/>
          <w:szCs w:val="22"/>
        </w:rPr>
        <w:t xml:space="preserve">If any criterion is met, the lease is classified as a finance lease. Otherwise, it is an operating lease. The classification determination shall be documented by the Controller.</w:t>
      </w:r>
    </w:p>
    <w:p>
      <w:pPr>
        <w:pStyle w:val="Heading2"/>
        <w:spacing w:after="150" w:before="300"/>
      </w:pPr>
      <w:r>
        <w:rPr>
          <w:rFonts w:ascii="Georgia" w:cs="Georgia" w:eastAsia="Georgia" w:hAnsi="Georgia"/>
          <w:b/>
          <w:bCs/>
          <w:color w:val="333333"/>
          <w:sz w:val="26"/>
          <w:szCs w:val="26"/>
        </w:rPr>
        <w:t xml:space="preserve">3.3 Measurement</w:t>
      </w:r>
    </w:p>
    <w:p>
      <w:pPr>
        <w:spacing w:after="150" w:before="0"/>
        <w:jc w:val="both"/>
      </w:pPr>
      <w:r>
        <w:rPr>
          <w:rFonts w:ascii="Calibri" w:cs="Calibri" w:eastAsia="Calibri" w:hAnsi="Calibri"/>
          <w:color w:val="333333"/>
          <w:sz w:val="22"/>
          <w:szCs w:val="22"/>
        </w:rPr>
        <w:t xml:space="preserve">At lease commencement, [Company Name] shall: measure the lease liability at the present value of future lease payments using the rate implicit in the lease (if determinable) or the IBR, measure the ROU asset at the lease liability amount plus initial direct costs, prepaid rent, and less lease incentives received, and recognize the ROU asset and lease liability on the balance sheet.</w:t>
      </w:r>
    </w:p>
    <w:p>
      <w:pPr>
        <w:pStyle w:val="Heading2"/>
        <w:spacing w:after="150" w:before="300"/>
      </w:pPr>
      <w:r>
        <w:rPr>
          <w:rFonts w:ascii="Georgia" w:cs="Georgia" w:eastAsia="Georgia" w:hAnsi="Georgia"/>
          <w:b/>
          <w:bCs/>
          <w:color w:val="333333"/>
          <w:sz w:val="26"/>
          <w:szCs w:val="26"/>
        </w:rPr>
        <w:t xml:space="preserve">3.4 Short-Term Lease Exemption</w:t>
      </w:r>
    </w:p>
    <w:p>
      <w:pPr>
        <w:spacing w:after="150" w:before="0"/>
        <w:jc w:val="both"/>
      </w:pPr>
      <w:r>
        <w:rPr>
          <w:rFonts w:ascii="Calibri" w:cs="Calibri" w:eastAsia="Calibri" w:hAnsi="Calibri"/>
          <w:color w:val="333333"/>
          <w:sz w:val="22"/>
          <w:szCs w:val="22"/>
        </w:rPr>
        <w:t xml:space="preserve">[Company Name] elects the short-term lease exemption for all asset classes. Leases with a term of 12 months or less (with no purchase option reasonably certain to be exercised) are not recognized on the balance sheet. Short-term lease payments are expensed on a straight-line basis. This election is applied consistently across all asset classes.</w:t>
      </w:r>
    </w:p>
    <w:p>
      <w:pPr>
        <w:pStyle w:val="Heading2"/>
        <w:spacing w:after="150" w:before="300"/>
      </w:pPr>
      <w:r>
        <w:rPr>
          <w:rFonts w:ascii="Georgia" w:cs="Georgia" w:eastAsia="Georgia" w:hAnsi="Georgia"/>
          <w:b/>
          <w:bCs/>
          <w:color w:val="333333"/>
          <w:sz w:val="26"/>
          <w:szCs w:val="26"/>
        </w:rPr>
        <w:t xml:space="preserve">3.5 IBR Determination</w:t>
      </w:r>
    </w:p>
    <w:p>
      <w:pPr>
        <w:spacing w:after="150" w:before="0"/>
        <w:jc w:val="both"/>
      </w:pPr>
      <w:r>
        <w:rPr>
          <w:rFonts w:ascii="Calibri" w:cs="Calibri" w:eastAsia="Calibri" w:hAnsi="Calibri"/>
          <w:color w:val="333333"/>
          <w:sz w:val="22"/>
          <w:szCs w:val="22"/>
        </w:rPr>
        <w:t xml:space="preserve">The IBR shall be determined at lease commencement (or modification) considering: [Company Name]'s credit profile and credit rating, the lease term, the economic environment (interest rates, currency), and collateralization (the rate reflects a secured borrowing). The Treasurer shall provide the IBR with documentation of the methodology. IBR shall be reviewed at least annually and updated when new leases commence or existing leases are modified.</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significant lease commitments. Reviews the real estate portfolio strategy. Approves lease budget.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Owns ASC 842 accounting and compliance. Approves lease classification. Reviews ROU asset and liability calculations.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Administrator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the lease database. Abstracts new leases. Tracks critical dates. Processes CAM reconciliations.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Facilities / Real Estate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physical space planning. Negotiates lease terms with landlords. Manages tenant improvements.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Provides the IBR for lease calculations. Manages lease payments.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Legal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and negotiates lease agreements. Advises on lease modifications and terminations.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FP&amp;A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Forecasts occupancy costs. Analyzes lease vs. own decisions. Supports portfolio optimization.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Tax</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Reviews lease arrangements for tax implications (property tax, sales tax on rent, Section 467 timing rules).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New Lease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Facilities identifies the space need and evaluates options (new lease, renewal, sublease, co-working)</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FP&amp;A analyzes the financial impact: total occupancy cost, NPV comparison of alternatives, budget impact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Legal negotiates lease terms with the landlord</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Controller classifies the lease (operating vs. finance) and calculates the ROU asset and liability</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CFO approves the lease commitment per the authority matrix</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Lease executed and abstracted into the lease administration system</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ROU asset and lease liability recorded at commencement</w:t>
      </w:r>
    </w:p>
    <w:p>
      <w:pPr>
        <w:spacing w:after="80"/>
        <w:ind w:left="720"/>
      </w:pPr>
      <w:r>
        <w:rPr>
          <w:rFonts w:ascii="Calibri" w:cs="Calibri" w:eastAsia="Calibri" w:hAnsi="Calibri"/>
          <w:b/>
          <w:bCs/>
          <w:color w:val="D4AF37"/>
          <w:sz w:val="22"/>
          <w:szCs w:val="22"/>
        </w:rPr>
        <w:t xml:space="preserve">8.  </w:t>
      </w:r>
      <w:r>
        <w:rPr>
          <w:rFonts w:ascii="Calibri" w:cs="Calibri" w:eastAsia="Calibri" w:hAnsi="Calibri"/>
          <w:color w:val="333333"/>
          <w:sz w:val="22"/>
          <w:szCs w:val="22"/>
        </w:rPr>
        <w:t xml:space="preserve">Payment schedule set up in AP or Treasury</w:t>
      </w:r>
    </w:p>
    <w:p>
      <w:pPr>
        <w:spacing w:after="80"/>
        <w:ind w:left="720"/>
      </w:pPr>
      <w:r>
        <w:rPr>
          <w:rFonts w:ascii="Calibri" w:cs="Calibri" w:eastAsia="Calibri" w:hAnsi="Calibri"/>
          <w:b/>
          <w:bCs/>
          <w:color w:val="D4AF37"/>
          <w:sz w:val="22"/>
          <w:szCs w:val="22"/>
        </w:rPr>
        <w:t xml:space="preserve">9.  </w:t>
      </w:r>
      <w:r>
        <w:rPr>
          <w:rFonts w:ascii="Calibri" w:cs="Calibri" w:eastAsia="Calibri" w:hAnsi="Calibri"/>
          <w:color w:val="333333"/>
          <w:sz w:val="22"/>
          <w:szCs w:val="22"/>
        </w:rPr>
        <w:t xml:space="preserve">Critical dates loaded into the tracking system with alerts</w:t>
      </w:r>
    </w:p>
    <w:p>
      <w:pPr>
        <w:pStyle w:val="Heading2"/>
        <w:spacing w:after="150" w:before="300"/>
      </w:pPr>
      <w:r>
        <w:rPr>
          <w:rFonts w:ascii="Georgia" w:cs="Georgia" w:eastAsia="Georgia" w:hAnsi="Georgia"/>
          <w:b/>
          <w:bCs/>
          <w:color w:val="333333"/>
          <w:sz w:val="26"/>
          <w:szCs w:val="26"/>
        </w:rPr>
        <w:t xml:space="preserve">5.2 Lease Abstraction</w:t>
      </w:r>
    </w:p>
    <w:p>
      <w:pPr>
        <w:spacing w:after="150" w:before="0"/>
        <w:jc w:val="both"/>
      </w:pPr>
      <w:r>
        <w:rPr>
          <w:rFonts w:ascii="Calibri" w:cs="Calibri" w:eastAsia="Calibri" w:hAnsi="Calibri"/>
          <w:color w:val="333333"/>
          <w:sz w:val="22"/>
          <w:szCs w:val="22"/>
        </w:rPr>
        <w:t xml:space="preserve">Every lease agreement shall be abstracted within [10] business days of execution. The abstraction captures: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Parties (landlord, tenant, guarantor)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Premises (address, square footage, floor/suite)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Term (commencement, expiration, renewal options, termination options)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Base rent schedule (initial rent, escalations, free rent periods)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Operating expense pass-throughs (CAM, taxes, insurance — gross, modified gross, or triple net)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Tenant improvement allowance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Security deposit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requirements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Assignment and subletting restrictions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Default and remedy provisions</w:t>
      </w:r>
    </w:p>
    <w:p>
      <w:pPr>
        <w:pStyle w:val="Heading2"/>
        <w:spacing w:after="150" w:before="300"/>
      </w:pPr>
      <w:r>
        <w:rPr>
          <w:rFonts w:ascii="Georgia" w:cs="Georgia" w:eastAsia="Georgia" w:hAnsi="Georgia"/>
          <w:b/>
          <w:bCs/>
          <w:color w:val="333333"/>
          <w:sz w:val="26"/>
          <w:szCs w:val="26"/>
        </w:rPr>
        <w:t xml:space="preserve">5.3 Monthly Lease Accounting</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Lease payments processed per the payment schedule</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Operating leases: straight-line lease expense recognized (may differ from cash payment due to escalations and free rent)</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Finance leases: amortization of ROU asset and interest expense on lease liability recognized separately</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ROU asset and lease liability rollforward updated</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Lease liability reconciled to the payment schedule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Sublease income recognized (if applicable)</w:t>
      </w:r>
    </w:p>
    <w:p>
      <w:pPr>
        <w:pStyle w:val="Heading2"/>
        <w:spacing w:after="150" w:before="300"/>
      </w:pPr>
      <w:r>
        <w:rPr>
          <w:rFonts w:ascii="Georgia" w:cs="Georgia" w:eastAsia="Georgia" w:hAnsi="Georgia"/>
          <w:b/>
          <w:bCs/>
          <w:color w:val="333333"/>
          <w:sz w:val="26"/>
          <w:szCs w:val="26"/>
        </w:rPr>
        <w:t xml:space="preserve">5.4 CAM Reconciliation</w:t>
      </w:r>
    </w:p>
    <w:p>
      <w:pPr>
        <w:spacing w:after="150" w:before="0"/>
        <w:jc w:val="both"/>
      </w:pPr>
      <w:r>
        <w:rPr>
          <w:rFonts w:ascii="Calibri" w:cs="Calibri" w:eastAsia="Calibri" w:hAnsi="Calibri"/>
          <w:color w:val="333333"/>
          <w:sz w:val="22"/>
          <w:szCs w:val="22"/>
        </w:rPr>
        <w:t xml:space="preserve">For leases with operating expense pass-throughs: landlord provides the annual CAM reconciliation (typically within [90-120] days of the calendar year-end), the Lease Administrator reviews the reconciliation for: compliance with the lease definition of operating expenses, excluded costs (capital expenditures above the cap, landlord's overhead), mathematical accuracy, and base year adjustments. Disputes are communicated to the landlord in writing within the lease-specified dispute period. Adjustments (credits or additional charges) are recorded when the reconciliation is finalized.</w:t>
      </w:r>
    </w:p>
    <w:p>
      <w:pPr>
        <w:pStyle w:val="Heading2"/>
        <w:spacing w:after="150" w:before="300"/>
      </w:pPr>
      <w:r>
        <w:rPr>
          <w:rFonts w:ascii="Georgia" w:cs="Georgia" w:eastAsia="Georgia" w:hAnsi="Georgia"/>
          <w:b/>
          <w:bCs/>
          <w:color w:val="333333"/>
          <w:sz w:val="26"/>
          <w:szCs w:val="26"/>
        </w:rPr>
        <w:t xml:space="preserve">5.5 Lease Modifications</w:t>
      </w:r>
    </w:p>
    <w:p>
      <w:pPr>
        <w:spacing w:after="150" w:before="0"/>
        <w:jc w:val="both"/>
      </w:pPr>
      <w:r>
        <w:rPr>
          <w:rFonts w:ascii="Calibri" w:cs="Calibri" w:eastAsia="Calibri" w:hAnsi="Calibri"/>
          <w:color w:val="333333"/>
          <w:sz w:val="22"/>
          <w:szCs w:val="22"/>
        </w:rPr>
        <w:t xml:space="preserve">When a lease is modified (term extension, space change, rent adjustment): the Controller evaluates whether the modification should be treated as a separate contract or a modification of the existing lease per ASC 842, the ROU asset and lease liability are remeasured using the revised terms and a revised discount rate, and the modification analysis is documented.</w:t>
      </w:r>
    </w:p>
    <w:p>
      <w:pPr>
        <w:pStyle w:val="Heading2"/>
        <w:spacing w:after="150" w:before="300"/>
      </w:pPr>
      <w:r>
        <w:rPr>
          <w:rFonts w:ascii="Georgia" w:cs="Georgia" w:eastAsia="Georgia" w:hAnsi="Georgia"/>
          <w:b/>
          <w:bCs/>
          <w:color w:val="333333"/>
          <w:sz w:val="26"/>
          <w:szCs w:val="26"/>
        </w:rPr>
        <w:t xml:space="preserve">5.6 Critical Date Management</w:t>
      </w:r>
    </w:p>
    <w:p>
      <w:pPr>
        <w:spacing w:after="150" w:before="0"/>
        <w:jc w:val="both"/>
      </w:pPr>
      <w:r>
        <w:rPr>
          <w:rFonts w:ascii="Calibri" w:cs="Calibri" w:eastAsia="Calibri" w:hAnsi="Calibri"/>
          <w:color w:val="333333"/>
          <w:sz w:val="22"/>
          <w:szCs w:val="22"/>
        </w:rPr>
        <w:t xml:space="preserve">The Lease Administrator shall maintain the critical date calendar with: lease expiration dates ([18] months advance notice), renewal option exercise dates ([12] months advance notice), termination option exercise dates ([12] months advance notice), rent escalation dates, insurance renewal deadlines, and estoppel and SNDA deadlines. Missed critical dates (especially renewal or termination notices) can result in significant financial exposure.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Lease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lease commitment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$250K annual rent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Facilities VP + Controller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lease commitment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$250K - $1M annual rent</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lease commitment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$1M annual rent</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Board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Lease term &gt; [10] years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Lease renewal exercise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existing terms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Facilities VP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Lease termination exercise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Sublease 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Legal</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Lease modification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Tenant improvement budget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CAM dispute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$25K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Lease Administrator + CFO</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Leases approaching expiration without a documented renewal or relocation plan shall be escalated to the CFO [12] months before expiration. Month-to-month holdover tenancy (lease expired without renewal or termination) shall be avoided due to unfavorable terms — the Facilities VP shall report any holdover situation to the CFO immediately. Lease modifications that change the classification (operating to finance or vice versa) require Controller review and CFO notification.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ROU asset and lease liability reconciliation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straight-line rent calculation verification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critical date review ([18]-month lookforward)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CAM reconciliation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IBR review and update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ASC 842 disclosure preparation</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abstraction completed within [10] business days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Critical dates managed (no missed notices)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Occupancy cost per employee / per square foot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Benchmarked to market</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 liability accuracy (rollforward ties to payment schedule)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CAM reconciliation reviewed within [30] days of receipt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Portfolio utilization (occupied vs. leased space)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&gt; [85%]</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Fixed Asset &amp; Capitalization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Delegation of Authority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Budget &amp; Financial Planning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&amp;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842, Leases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842-10-55 (Lease Classification Criteria)</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ASC 842-20 (Lessee Accounting)</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Lease Portfolio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Property address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Location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Landlord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Landlord name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Lease type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Operating / Finance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Commencement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Start of lease term</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Expiration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End of current term</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Annual base rent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Current annual rent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Escalation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 increase (fixed % or CPI)</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Renewal options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Terms and notice period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ROU asset balance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Current balance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Lease liability balance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Current balance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Critical next date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Next action required and deadline</w:t>
            </w:r>
          </w:p>
        </w:tc>
      </w:tr>
    </w:tbl>
    <w:p>
      <w:pPr>
        <w:pStyle w:val="Heading2"/>
        <w:spacing w:after="150" w:before="300"/>
      </w:pPr>
      <w:r>
        <w:rPr>
          <w:rFonts w:ascii="Georgia" w:cs="Georgia" w:eastAsia="Georgia" w:hAnsi="Georgia"/>
          <w:b/>
          <w:bCs/>
          <w:color w:val="333333"/>
          <w:sz w:val="26"/>
          <w:szCs w:val="26"/>
        </w:rPr>
        <w:t xml:space="preserve">Appendix B — ASC 842 Classification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Does ownership transfer at end of term? Yes/No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Is there a purchase option reasonably certain to be exercised? Yes/No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Is the lease term &gt;= 75% of economic life? Yes/No (calculate)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Is PV of payments &gt;= 90% of fair value? Yes/No (calculate at IBR)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Is the asset specialized with no alternative use? Yes/No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If any Yes: Finance Lease. If all No: Operating Lease.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Real Estate &amp; Lease Administration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2026-07-13T17:26:09.473Z</dcterms:created>
  <dcterms:modified xsi:type="dcterms:W3CDTF">2026-07-13T17:26:09.488Z</dcterms:modified>
</cp:coreProperties>
</file>

<file path=docProps/custom.xml><?xml version="1.0" encoding="utf-8"?>
<Properties xmlns="http://schemas.openxmlformats.org/officeDocument/2006/custom-properties" xmlns:vt="http://schemas.openxmlformats.org/officeDocument/2006/docPropsVTypes"/>
</file>