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Channel Partner &amp; Reseller Accounting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Channel Partner and Reseller Accounting Policy establishes the standards, procedures, and controls governing how [Company Name] accounts for revenue, costs, and obligations arising from indirect sales channels including distributors, resellers, value-added resellers (VARs), system integrators, and referral partners. The policy ensures compliance with ASC 606 principal vs. agent considerations and provides consistent treatment of channel economics.</w:t>
      </w:r>
    </w:p>
    <w:p>
      <w:pPr>
        <w:spacing w:after="150" w:before="0"/>
        <w:jc w:val="both"/>
      </w:pPr>
      <w:r>
        <w:rPr>
          <w:rFonts w:ascii="Calibri" w:cs="Calibri" w:eastAsia="Calibri" w:hAnsi="Calibri"/>
          <w:color w:val="333333"/>
          <w:sz w:val="22"/>
          <w:szCs w:val="22"/>
        </w:rPr>
        <w:t xml:space="preserve">This policy applies to all indirect channel arrangements including: two-tier distribution (distributor and reseller), single-tier reseller relationships, value-added reseller and system integrator arrangements, referral and commission-based partner programs, marketplace and platform channel sales, and OEM and white-label agreements.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Determine whether [Company Name] is the principal or agent in each channel arrangement per ASC 606</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Recognize revenue at the correct amount (gross vs. net) based on the principal/agent determination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Account for channel incentives (rebates, co-op funds, price protection) as reductions of revenue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Manage channel inventory and sell-through reporting for revenue recognition timing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consistent treatment of channel economics across all partner types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ASC 606 requirements for variable consideration in channel arrangements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Distributor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intermediary that purchases products from [Company Name] and resells them to resellers or end customers, typically holding inventory.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Reseller / VAR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company that purchases products from [Company Name] (or a distributor) and resells them to end customers, often adding value through services.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Principal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party that controls the good or service before it is transferred to the customer; recognizes revenue at the gross amount.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Agent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party that arranges for the good or service to be provided by another party; recognizes revenue at the net amount (commission).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Sell-In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Revenue recognized when [Company Name] ships product to the channel partner (transfer of control to the partner).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Sell-Through</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Revenue recognized when the channel partner sells the product to the end customer.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Price Protection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commitment to credit the channel partner for inventory value declines if [Company Name] reduces its list price.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Stock Rotation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right of a channel partner to return unsold inventory in exchange for new products (typically limited to a percentage of purchases).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Co-Op Marketing Funds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Funds provided to channel partners to support marketing activities that promote [Company Name] products.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Channel Rebate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payment or credit to a channel partner based on achieving volume thresholds or other performance targets.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Principal vs. Agent Determination</w:t>
      </w:r>
    </w:p>
    <w:p>
      <w:pPr>
        <w:spacing w:after="150" w:before="0"/>
        <w:jc w:val="both"/>
      </w:pPr>
      <w:r>
        <w:rPr>
          <w:rFonts w:ascii="Calibri" w:cs="Calibri" w:eastAsia="Calibri" w:hAnsi="Calibri"/>
          <w:color w:val="333333"/>
          <w:sz w:val="22"/>
          <w:szCs w:val="22"/>
        </w:rPr>
        <w:t xml:space="preserve">[Company Name] shall evaluate each channel arrangement to determine whether it is the principal or agent. The party that controls the good or service before transfer to the end customer is the principal. Indicators of control include: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Primary responsibility for fulfilling the promise to the end customer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Inventory risk (before transfer, during return period, or for unsold inventory)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Pricing discretion (ability to set the price the end customer pays)</w:t>
      </w:r>
    </w:p>
    <w:p>
      <w:pPr>
        <w:spacing w:after="150" w:before="0"/>
        <w:jc w:val="both"/>
      </w:pPr>
      <w:r>
        <w:rPr>
          <w:rFonts w:ascii="Calibri" w:cs="Calibri" w:eastAsia="Calibri" w:hAnsi="Calibri"/>
          <w:color w:val="333333"/>
          <w:sz w:val="22"/>
          <w:szCs w:val="22"/>
        </w:rPr>
        <w:t xml:space="preserve">The Controller shall document the principal/agent analysis for each channel type. The analysis shall be reassessed when channel terms change materially.</w:t>
      </w:r>
    </w:p>
    <w:p>
      <w:pPr>
        <w:pStyle w:val="Heading2"/>
        <w:spacing w:after="150" w:before="300"/>
      </w:pPr>
      <w:r>
        <w:rPr>
          <w:rFonts w:ascii="Georgia" w:cs="Georgia" w:eastAsia="Georgia" w:hAnsi="Georgia"/>
          <w:b/>
          <w:bCs/>
          <w:color w:val="333333"/>
          <w:sz w:val="26"/>
          <w:szCs w:val="26"/>
        </w:rPr>
        <w:t xml:space="preserve">3.2 Revenue Recognition Timing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Channel Model</w:t>
            </w:r>
          </w:p>
        </w:tc>
        <w:tc>
          <w:tcPr>
            <w:tcW w:type="dxa" w:w="6160"/>
            <w:shd w:fill="0C0C0C" w:val="clear"/>
          </w:tcPr>
          <w:p>
            <w:pPr>
              <w:spacing w:after="60" w:before="60"/>
            </w:pPr>
            <w:r>
              <w:rPr>
                <w:rFonts w:ascii="Calibri" w:cs="Calibri" w:eastAsia="Calibri" w:hAnsi="Calibri"/>
                <w:b/>
                <w:bCs/>
                <w:color w:val="D4AF37"/>
                <w:sz w:val="20"/>
                <w:szCs w:val="20"/>
              </w:rPr>
              <w:t xml:space="preserve">Revenue Recognition Point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Sell-in (principal, no significant return rights)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Upon shipment/delivery to the channel partner when control transfers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Sell-in with return rights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Upon shipment, with a return reserve for estimated returns (variable consideration)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Sell-through required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Upon sell-through to the end customer (when control transfers to the end user)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Consignment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Upon sale to the end customer by the consignee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Agent arrangement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Net commission recognized when the performance obligation is satisfied</w:t>
            </w:r>
          </w:p>
        </w:tc>
      </w:tr>
    </w:tbl>
    <w:p>
      <w:pPr>
        <w:pStyle w:val="Heading2"/>
        <w:spacing w:after="150" w:before="300"/>
      </w:pPr>
      <w:r>
        <w:rPr>
          <w:rFonts w:ascii="Georgia" w:cs="Georgia" w:eastAsia="Georgia" w:hAnsi="Georgia"/>
          <w:b/>
          <w:bCs/>
          <w:color w:val="333333"/>
          <w:sz w:val="26"/>
          <w:szCs w:val="26"/>
        </w:rPr>
        <w:t xml:space="preserve">3.3 Channel Incentive Accounting</w:t>
      </w:r>
    </w:p>
    <w:p>
      <w:pPr>
        <w:spacing w:after="150" w:before="0"/>
        <w:jc w:val="both"/>
      </w:pPr>
      <w:r>
        <w:rPr>
          <w:rFonts w:ascii="Calibri" w:cs="Calibri" w:eastAsia="Calibri" w:hAnsi="Calibri"/>
          <w:color w:val="333333"/>
          <w:sz w:val="22"/>
          <w:szCs w:val="22"/>
        </w:rPr>
        <w:t xml:space="preserve">Channel incentives shall be accounted for as reductions of revenue (not as selling expenses) per ASC 606: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Incentive Type</w:t>
            </w:r>
          </w:p>
        </w:tc>
        <w:tc>
          <w:tcPr>
            <w:tcW w:type="dxa" w:w="6160"/>
            <w:shd w:fill="0C0C0C" w:val="clear"/>
          </w:tcPr>
          <w:p>
            <w:pPr>
              <w:spacing w:after="60" w:before="60"/>
            </w:pPr>
            <w:r>
              <w:rPr>
                <w:rFonts w:ascii="Calibri" w:cs="Calibri" w:eastAsia="Calibri" w:hAnsi="Calibri"/>
                <w:b/>
                <w:bCs/>
                <w:color w:val="D4AF37"/>
                <w:sz w:val="20"/>
                <w:szCs w:val="20"/>
              </w:rPr>
              <w:t xml:space="preserve">Accounting Treatment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Volume rebates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Estimated at contract inception as variable consideration; reduce revenue; update quarterly based on attainment trajectory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Price protection credits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Estimated when price reductions are probable; reduce revenue; accrued as a refund liability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Stock rotation returns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Estimated based on historical return rates; reduce revenue; record refund liability and return asset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Co-op marketing funds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Reduce revenue unless [Company Name] receives a distinct good or service of determinable fair value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Upfront channel payments (slotting fees)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Reduce revenue over the period of the arrangement unless a distinct service is received</w:t>
            </w:r>
          </w:p>
        </w:tc>
      </w:tr>
    </w:tbl>
    <w:p>
      <w:pPr>
        <w:pStyle w:val="Heading2"/>
        <w:spacing w:after="150" w:before="300"/>
      </w:pPr>
      <w:r>
        <w:rPr>
          <w:rFonts w:ascii="Georgia" w:cs="Georgia" w:eastAsia="Georgia" w:hAnsi="Georgia"/>
          <w:b/>
          <w:bCs/>
          <w:color w:val="333333"/>
          <w:sz w:val="26"/>
          <w:szCs w:val="26"/>
        </w:rPr>
        <w:t xml:space="preserve">3.4 Channel Inventory Monitoring</w:t>
      </w:r>
    </w:p>
    <w:p>
      <w:pPr>
        <w:spacing w:after="150" w:before="0"/>
        <w:jc w:val="both"/>
      </w:pPr>
      <w:r>
        <w:rPr>
          <w:rFonts w:ascii="Calibri" w:cs="Calibri" w:eastAsia="Calibri" w:hAnsi="Calibri"/>
          <w:color w:val="333333"/>
          <w:sz w:val="22"/>
          <w:szCs w:val="22"/>
        </w:rPr>
        <w:t xml:space="preserve">For sell-in arrangements, [Company Name] shall monitor channel inventory levels to: identify excess inventory that may lead to future returns or price protection claims, validate revenue recognition timing (ensuring control has transferred), support the variable consideration estimate for return reserves, and assess customer creditworthiness (inventory buildup may signal financial difficulty). Channel partners shall provide inventory reports [monthly/quarterly] per the partner agreement.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the principal/agent determination. Approves channel accounting methodology. Reviews channel revenue and reserves.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Revenue Accountant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Records channel revenue per the approved methodology. Calculates rebate and return accruals. Reconciles channel AR.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Channel Sales Leader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channel partner relationships. Negotiates partner agreements. Provides sell-through and inventory data.</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Channel Operations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Administers partner programs. Tracks rebate attainment. Processes co-op claims. Provides channel data to Finance.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Legal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Reviews channel agreements for revenue recognition implications. Advises on right-of-return and price protection clauses.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FP&amp;A</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Forecasts channel revenue by partner tier. Analyzes channel profitability. Monitors channel mix trends.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Tax</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Reviews channel arrangements for sales tax collection obligations. Evaluates transfer pricing for international channels.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New Channel Partner Setup</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Channel Sales negotiates the partner agreement and submits to Legal and Finance for review</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Legal reviews for: return rights, price protection, rebate terms, payment terms, and termination provisions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Controller performs the principal/agent analysis and documents the conclusion</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Revenue Accountant establishes the revenue recognition treatment in the billing system</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Channel Operations sets up the partner in the channel management system with the approved program tier</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Credit reviews the partner for creditworthiness per the AR Policy</w:t>
      </w:r>
    </w:p>
    <w:p>
      <w:pPr>
        <w:pStyle w:val="Heading2"/>
        <w:spacing w:after="150" w:before="300"/>
      </w:pPr>
      <w:r>
        <w:rPr>
          <w:rFonts w:ascii="Georgia" w:cs="Georgia" w:eastAsia="Georgia" w:hAnsi="Georgia"/>
          <w:b/>
          <w:bCs/>
          <w:color w:val="333333"/>
          <w:sz w:val="26"/>
          <w:szCs w:val="26"/>
        </w:rPr>
        <w:t xml:space="preserve">5.2 Channel Revenue Recognition</w:t>
      </w:r>
    </w:p>
    <w:p>
      <w:pPr>
        <w:pStyle w:val="Heading3"/>
        <w:spacing w:after="100" w:before="200"/>
      </w:pPr>
      <w:r>
        <w:rPr>
          <w:rFonts w:ascii="Georgia" w:cs="Georgia" w:eastAsia="Georgia" w:hAnsi="Georgia"/>
          <w:b/>
          <w:bCs/>
          <w:color w:val="444444"/>
          <w:sz w:val="22"/>
          <w:szCs w:val="22"/>
        </w:rPr>
        <w:t xml:space="preserve">5.2.1 Sell-In Revenue</w:t>
      </w:r>
    </w:p>
    <w:p>
      <w:pPr>
        <w:spacing w:after="150" w:before="0"/>
        <w:jc w:val="both"/>
      </w:pPr>
      <w:r>
        <w:rPr>
          <w:rFonts w:ascii="Calibri" w:cs="Calibri" w:eastAsia="Calibri" w:hAnsi="Calibri"/>
          <w:color w:val="333333"/>
          <w:sz w:val="22"/>
          <w:szCs w:val="22"/>
        </w:rPr>
        <w:t xml:space="preserve">For sell-in arrangements where [Company Name] is the principal: revenue is recognized upon shipment/delivery per the shipping terms (FOB), the transaction price is reduced for estimated variable consideration (rebates, returns, price protection), and variable consideration estimates are updated quarterly based on actual experience.</w:t>
      </w:r>
    </w:p>
    <w:p>
      <w:pPr>
        <w:pStyle w:val="Heading3"/>
        <w:spacing w:after="100" w:before="200"/>
      </w:pPr>
      <w:r>
        <w:rPr>
          <w:rFonts w:ascii="Georgia" w:cs="Georgia" w:eastAsia="Georgia" w:hAnsi="Georgia"/>
          <w:b/>
          <w:bCs/>
          <w:color w:val="444444"/>
          <w:sz w:val="22"/>
          <w:szCs w:val="22"/>
        </w:rPr>
        <w:t xml:space="preserve">5.2.2 Variable Consideration Estimation</w:t>
      </w:r>
    </w:p>
    <w:p>
      <w:pPr>
        <w:spacing w:after="150" w:before="0"/>
        <w:jc w:val="both"/>
      </w:pPr>
      <w:r>
        <w:rPr>
          <w:rFonts w:ascii="Calibri" w:cs="Calibri" w:eastAsia="Calibri" w:hAnsi="Calibri"/>
          <w:color w:val="333333"/>
          <w:sz w:val="22"/>
          <w:szCs w:val="22"/>
        </w:rPr>
        <w:t xml:space="preserve">The Revenue Accountant shall estimate variable consideration for each channel incentive program:</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Volume rebates: project full-year attainment based on YTD sales trajectory; accrue the estimated rebate percentage against all qualifying revenue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Returns: apply historical return rates by partner tier and product category; accrue refund liability and return asset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Price protection: estimate the probability and magnitude of future price reductions; accrue when price reduction is probable</w:t>
      </w:r>
    </w:p>
    <w:p>
      <w:pPr>
        <w:pStyle w:val="Heading2"/>
        <w:spacing w:after="150" w:before="300"/>
      </w:pPr>
      <w:r>
        <w:rPr>
          <w:rFonts w:ascii="Georgia" w:cs="Georgia" w:eastAsia="Georgia" w:hAnsi="Georgia"/>
          <w:b/>
          <w:bCs/>
          <w:color w:val="333333"/>
          <w:sz w:val="26"/>
          <w:szCs w:val="26"/>
        </w:rPr>
        <w:t xml:space="preserve">5.3 Channel Rebate Administration</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Channel Operations tracks each partner's progress toward rebate thresholds</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Revenue Accountant reviews attainment quarterly and adjusts the rebate accrual</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At period end, earned rebates are confirmed and credits or payments issued</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Rebate payments are recorded as a reduction of the rebate accrual (not as current-period expense)</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Year-end true-up compares estimated rebates to actual; differences flow through revenue</w:t>
      </w:r>
    </w:p>
    <w:p>
      <w:pPr>
        <w:pStyle w:val="Heading2"/>
        <w:spacing w:after="150" w:before="300"/>
      </w:pPr>
      <w:r>
        <w:rPr>
          <w:rFonts w:ascii="Georgia" w:cs="Georgia" w:eastAsia="Georgia" w:hAnsi="Georgia"/>
          <w:b/>
          <w:bCs/>
          <w:color w:val="333333"/>
          <w:sz w:val="26"/>
          <w:szCs w:val="26"/>
        </w:rPr>
        <w:t xml:space="preserve">5.4 Co-Op Marketing Fund Claims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Channel partner submits a co-op claim with proof of marketing activity (ad copy, event documentation)</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Channel Operations validates the claim against the co-op program terms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If the partner provides a distinct identifiable benefit to [Company Name]: record as marketing expense at fair value</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If no distinct benefit or fair value cannot be determined: record as a reduction of revenue</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Co-op claims are processed within [30] days of submission</w:t>
      </w:r>
    </w:p>
    <w:p>
      <w:pPr>
        <w:pStyle w:val="Heading2"/>
        <w:spacing w:after="150" w:before="300"/>
      </w:pPr>
      <w:r>
        <w:rPr>
          <w:rFonts w:ascii="Georgia" w:cs="Georgia" w:eastAsia="Georgia" w:hAnsi="Georgia"/>
          <w:b/>
          <w:bCs/>
          <w:color w:val="333333"/>
          <w:sz w:val="26"/>
          <w:szCs w:val="26"/>
        </w:rPr>
        <w:t xml:space="preserve">5.5 Channel Partner Profitability Analysis</w:t>
      </w:r>
    </w:p>
    <w:p>
      <w:pPr>
        <w:spacing w:after="150" w:before="0"/>
        <w:jc w:val="both"/>
      </w:pPr>
      <w:r>
        <w:rPr>
          <w:rFonts w:ascii="Calibri" w:cs="Calibri" w:eastAsia="Calibri" w:hAnsi="Calibri"/>
          <w:color w:val="333333"/>
          <w:sz w:val="22"/>
          <w:szCs w:val="22"/>
        </w:rPr>
        <w:t xml:space="preserve">FP&amp;A shall prepare quarterly channel profitability analysis showing: gross revenue by partner and tier, less: rebates, returns, price protection, co-op funds = net channel revenue, less: channel-specific costs (partner support, technical resources, training), equals: channel contribution margin. The analysis supports decisions on: partner tier assignments, program investment levels, and partner additions or terminations.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Channel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Principal/agent determination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 new arrangements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Channel partner agreement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&lt; $1M annual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Channel VP + Legal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Channel partner agreement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$1M annual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Channel VP + Legal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Rebate program design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Channel VP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Co-op fund allocation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Within approved budget</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Channel VP</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Co-op fund above budget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Price protection accrual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Stock rotation approval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Within program limits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Channel Operations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Stock rotation above limits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Channel VP</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Channel partner termination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Channel VP + Legal + CFO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Channel arrangements with non-standard terms (unlimited returns, guaranteed margins, extended price protection beyond [X] days) require Controller and CFO approval with documented revenue recognition analysis. If channel inventory exceeds [X] months of sell-through, the Controller shall evaluate whether the revenue recognition for recent shipments to that partner remains appropriate. Disputes with channel partners over rebate calculations or co-op claims exceeding [$X] shall be escalated to the CFO.</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channel revenue reconciliation (sell-in vs. sell-through tracking)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variable consideration estimate review and true-up</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channel inventory monitoring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channel profitability analysis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principal/agent determination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channel agreement compliance review</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Channel revenue recognition accuracy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Zero restatements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Rebate accrual accuracy (estimate vs. actual)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Within [15%]</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Return rate by channel tier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historical range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Channel inventory weeks of supply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&lt; [X] weeks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Co-op claim processing time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[30] days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Channel contribution margin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Above threshold by tier</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Revenue Recognition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Accounts Receivable &amp; Credit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Customer Contract Authority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Sales Tax &amp; Indirect Tax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606, Revenue from Contracts with Customers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606-10-55, Principal vs. Agent Considerations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Principal vs. Agent Decision Framework</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Does [Company Name] control the product/service before transfer to end customer? Yes = likely principal</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Does [Company Name] bear inventory risk? Yes = indicator of principal</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Does [Company Name] set the price to the end customer? Yes = indicator of principal</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Does [Company Name] have primary fulfillment responsibility? Yes = indicator of principal</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If no to most indicators: likely agent; recognize net commission</w:t>
      </w:r>
    </w:p>
    <w:p>
      <w:pPr>
        <w:pStyle w:val="Heading2"/>
        <w:spacing w:after="150" w:before="300"/>
      </w:pPr>
      <w:r>
        <w:rPr>
          <w:rFonts w:ascii="Georgia" w:cs="Georgia" w:eastAsia="Georgia" w:hAnsi="Georgia"/>
          <w:b/>
          <w:bCs/>
          <w:color w:val="333333"/>
          <w:sz w:val="26"/>
          <w:szCs w:val="26"/>
        </w:rPr>
        <w:t xml:space="preserve">Appendix B — Channel Incentive Accrual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Incentive</w:t>
            </w:r>
          </w:p>
        </w:tc>
        <w:tc>
          <w:tcPr>
            <w:tcW w:type="dxa" w:w="6160"/>
            <w:shd w:fill="0C0C0C" w:val="clear"/>
          </w:tcPr>
          <w:p>
            <w:pPr>
              <w:spacing w:after="60" w:before="60"/>
            </w:pPr>
            <w:r>
              <w:rPr>
                <w:rFonts w:ascii="Calibri" w:cs="Calibri" w:eastAsia="Calibri" w:hAnsi="Calibri"/>
                <w:b/>
                <w:bCs/>
                <w:color w:val="D4AF37"/>
                <w:sz w:val="20"/>
                <w:szCs w:val="20"/>
              </w:rPr>
              <w:t xml:space="preserve">Current Quarter Accrual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Volume rebates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Price protection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Stock rotation returns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Co-op marketing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Channel Partner &amp; Reseller Accounting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2026-07-13T17:19:33.833Z</dcterms:created>
  <dcterms:modified xsi:type="dcterms:W3CDTF">2026-07-13T17:19:33.846Z</dcterms:modified>
</cp:coreProperties>
</file>

<file path=docProps/custom.xml><?xml version="1.0" encoding="utf-8"?>
<Properties xmlns="http://schemas.openxmlformats.org/officeDocument/2006/custom-properties" xmlns:vt="http://schemas.openxmlformats.org/officeDocument/2006/docPropsVTypes"/>
</file>