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Financial Model Governance &amp; Version Control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Financial Model Governance and Version Control Policy establishes the standards, procedures, and controls for the development, review, maintenance, and distribution of financial models at [Company Name]. The policy ensures that models used for material business decisions are accurate, auditable, properly controlled, and protected from unauthorized modification.</w:t>
      </w:r>
    </w:p>
    <w:p>
      <w:pPr>
        <w:spacing w:after="150" w:before="0"/>
        <w:jc w:val="both"/>
      </w:pPr>
      <w:r>
        <w:rPr>
          <w:rFonts w:ascii="Calibri" w:cs="Calibri" w:eastAsia="Calibri" w:hAnsi="Calibri"/>
          <w:color w:val="333333"/>
          <w:sz w:val="22"/>
          <w:szCs w:val="22"/>
        </w:rPr>
        <w:t xml:space="preserve">This policy applies to all financial models used for decision-making including: annual budget and long-range plan models, M&amp;A valuation and integration models, capital investment / ROI models, pricing and profitability models, debt capacity and capital structure models, impairment testing models, tax provision models, and any model whose output informs a material financial decision or external disclosure.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financial model errors that lead to incorrect business decisions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version control preventing unauthorized or untracked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Require independent review of models before outputs are used for decisions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an inventory of critical financial models with designated owners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model development standards promoting accuracy and transparency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model assumptions are documented and traceable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Model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quantitative representation of a business situation or decision, typically built in a spreadsheet, that produces outputs (valuations, projections, returns) used to inform decisions.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Model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model whose output directly influences a material business decision, external disclosure, or regulatory filing.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Owner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individual accountable for the model's accuracy, maintenance, and access control.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Model Developer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who builds or modifies the model.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Reviewer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independent individual who reviews the model for accuracy, logic, and compliance with standards.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Version Control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practice of tracking changes to a model over time, maintaining prior versions, and documenting what changed and why.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risk of adverse consequences from decisions based on incorrect or misused model outputs.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Circular Reference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formula that refers back to its own cell, directly or indirectly, which can cause calculation errors.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Hard-Coded Override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manually entered value that overrides a formula, which may become stale or be overlooked.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Stress Test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testing a model with extreme but plausible inputs to evaluate sensitivity and identify breaking points.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Model Classification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Classification</w:t>
            </w:r>
          </w:p>
        </w:tc>
        <w:tc>
          <w:tcPr>
            <w:tcW w:type="dxa" w:w="6160"/>
            <w:shd w:fill="0C0C0C" w:val="clear"/>
          </w:tcPr>
          <w:p>
            <w:pPr>
              <w:spacing w:after="60" w:before="60"/>
            </w:pPr>
            <w:r>
              <w:rPr>
                <w:rFonts w:ascii="Calibri" w:cs="Calibri" w:eastAsia="Calibri" w:hAnsi="Calibri"/>
                <w:b/>
                <w:bCs/>
                <w:color w:val="D4AF37"/>
                <w:sz w:val="20"/>
                <w:szCs w:val="20"/>
              </w:rPr>
              <w:t xml:space="preserve">Criteria and Controls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Output used for: Board decisions, M&amp;A valuations, SEC disclosures, debt covenants, impairment testing, investor guidance. Controls: mandatory independent review, version control, stress testing, annual recertification.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Standard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Output used for: internal management decisions, operational planning, ad hoc analysis. Controls: peer review recommended, version control recommended, assumptions documented.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Ad Hoc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One-time analysis not reused. Controls: self-review acceptable, no version control required, retain with supporting analysis.</w:t>
            </w:r>
          </w:p>
        </w:tc>
      </w:tr>
    </w:tbl>
    <w:p>
      <w:pPr>
        <w:pStyle w:val="Heading2"/>
        <w:spacing w:after="150" w:before="300"/>
      </w:pPr>
      <w:r>
        <w:rPr>
          <w:rFonts w:ascii="Georgia" w:cs="Georgia" w:eastAsia="Georgia" w:hAnsi="Georgia"/>
          <w:b/>
          <w:bCs/>
          <w:color w:val="333333"/>
          <w:sz w:val="26"/>
          <w:szCs w:val="26"/>
        </w:rPr>
        <w:t xml:space="preserve">3.2 Model Development Standards</w:t>
      </w:r>
    </w:p>
    <w:p>
      <w:pPr>
        <w:spacing w:after="150" w:before="0"/>
        <w:jc w:val="both"/>
      </w:pPr>
      <w:r>
        <w:rPr>
          <w:rFonts w:ascii="Calibri" w:cs="Calibri" w:eastAsia="Calibri" w:hAnsi="Calibri"/>
          <w:color w:val="333333"/>
          <w:sz w:val="22"/>
          <w:szCs w:val="22"/>
        </w:rPr>
        <w:t xml:space="preserve">All critical financial models shall adhere to the following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Separation of inputs, calculations, and outputs on distinct tabs or sections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assumptions clearly labeled, documented, and sourced (no buried assumptions)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hard-coded values within formulas (hard codes shall be in designated input cells, highlighted in a distinct color)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Consistent formula structure across rows and columns (no one-off formulas)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circular references unless specifically required and documented with the iteration settings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Error checks built into the model (balance sheet balances, cash flow ties, cross-foot checks)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Table of contents or model map for complex models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Version number and date displayed prominently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Color coding convention: blue for inputs, black for formulas, green for links to other tabs/files</w:t>
      </w:r>
    </w:p>
    <w:p>
      <w:pPr>
        <w:pStyle w:val="Heading2"/>
        <w:spacing w:after="150" w:before="300"/>
      </w:pPr>
      <w:r>
        <w:rPr>
          <w:rFonts w:ascii="Georgia" w:cs="Georgia" w:eastAsia="Georgia" w:hAnsi="Georgia"/>
          <w:b/>
          <w:bCs/>
          <w:color w:val="333333"/>
          <w:sz w:val="26"/>
          <w:szCs w:val="26"/>
        </w:rPr>
        <w:t xml:space="preserve">3.3 Version Control</w:t>
      </w:r>
    </w:p>
    <w:p>
      <w:pPr>
        <w:spacing w:after="150" w:before="0"/>
        <w:jc w:val="both"/>
      </w:pPr>
      <w:r>
        <w:rPr>
          <w:rFonts w:ascii="Calibri" w:cs="Calibri" w:eastAsia="Calibri" w:hAnsi="Calibri"/>
          <w:color w:val="333333"/>
          <w:sz w:val="22"/>
          <w:szCs w:val="22"/>
        </w:rPr>
        <w:t xml:space="preserve">Critical models shall be subject to version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Each version saved with a naming convention: [ModelName]_v[X.Y]_[YYYYMMDD]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Major versions (structural changes, new scenarios) increment the major number (v1.0 → v2.0)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Minor versions (assumption updates, corrections) increment the minor number (v1.0 → v1.1)</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Prior versions retained for at least [12] months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 change log maintained documenting: version number, date, author, description of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Models stored in the designated shared drive or model repository (not personal drives)</w:t>
      </w:r>
    </w:p>
    <w:p>
      <w:pPr>
        <w:pStyle w:val="Heading2"/>
        <w:spacing w:after="150" w:before="300"/>
      </w:pPr>
      <w:r>
        <w:rPr>
          <w:rFonts w:ascii="Georgia" w:cs="Georgia" w:eastAsia="Georgia" w:hAnsi="Georgia"/>
          <w:b/>
          <w:bCs/>
          <w:color w:val="333333"/>
          <w:sz w:val="26"/>
          <w:szCs w:val="26"/>
        </w:rPr>
        <w:t xml:space="preserve">3.4 Access Control</w:t>
      </w:r>
    </w:p>
    <w:p>
      <w:pPr>
        <w:spacing w:after="150" w:before="0"/>
        <w:jc w:val="both"/>
      </w:pPr>
      <w:r>
        <w:rPr>
          <w:rFonts w:ascii="Calibri" w:cs="Calibri" w:eastAsia="Calibri" w:hAnsi="Calibri"/>
          <w:color w:val="333333"/>
          <w:sz w:val="22"/>
          <w:szCs w:val="22"/>
        </w:rPr>
        <w:t xml:space="preserve">Critical models shall have restricted access: only the model owner and designated developers may modify the model (write access), broader teams may have read-only access for reference, the model file shall be password-protected (structural protection to prevent accidental changes), and distribution of model outputs (not the model file itself) is preferred for stakeholders who do not need to see the mechanics.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model governance policy. Reviews critical model outputs before decisions. Ensures adequate modeling resources.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 Director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model inventory. Assigns model owners. Enforces development standards. Coordinates reviews.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Owners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Accountable for their model's accuracy and maintenance. Ensure the model is reviewed. Manage access. Update the change log.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Model Developers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Build models per development standards. Document assumptions. Implement error checks. Manage version control.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Reviewers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Independently review models for: formula accuracy, logical consistency, assumption reasonableness, and compliance with standards.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models that produce outputs for financial reporting (impairment, provision, fair value). Ensures GAAP compliance of model methodology.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model governance controls. Reviews critical model accuracy. Evaluates model risk.</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secure model storage. Manages backup and access controls for model repositories.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Model Development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Model developer defines the objective, scope, and key outputs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Developer identifies and documents all input assumptions with sources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Model is built per development standards (separation, labeling, error checks)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Developer performs self-review: verify all formulas, run error checks, test with known scenarios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For critical models: independent review performed by a qualified reviewer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Reviewer documents findings; developer addresses all issues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Model owner approves the model for use</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Model is saved in the repository with proper version naming</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Model is added to the model inventory</w:t>
      </w:r>
    </w:p>
    <w:p>
      <w:pPr>
        <w:pStyle w:val="Heading2"/>
        <w:spacing w:after="150" w:before="300"/>
      </w:pPr>
      <w:r>
        <w:rPr>
          <w:rFonts w:ascii="Georgia" w:cs="Georgia" w:eastAsia="Georgia" w:hAnsi="Georgia"/>
          <w:b/>
          <w:bCs/>
          <w:color w:val="333333"/>
          <w:sz w:val="26"/>
          <w:szCs w:val="26"/>
        </w:rPr>
        <w:t xml:space="preserve">5.2 Independent Model Review</w:t>
      </w:r>
    </w:p>
    <w:p>
      <w:pPr>
        <w:spacing w:after="150" w:before="0"/>
        <w:jc w:val="both"/>
      </w:pPr>
      <w:r>
        <w:rPr>
          <w:rFonts w:ascii="Calibri" w:cs="Calibri" w:eastAsia="Calibri" w:hAnsi="Calibri"/>
          <w:color w:val="333333"/>
          <w:sz w:val="22"/>
          <w:szCs w:val="22"/>
        </w:rPr>
        <w:t xml:space="preserve">The independent review of a critical model shall include: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Formula audit: verify key calculations by hand or with an audit tool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Logic review: does the model structure make sense? Are the relationships between inputs and outputs reasonable?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Assumption review: are assumptions documented, sourced, and reasonable?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Sensitivity testing: do outputs respond appropriately to input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Stress testing: do extreme inputs produce reasonable (not broken) outputs?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Error check verification: do all built-in checks pass?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Formatting and standards compliance: does the model meet development standards?</w:t>
      </w:r>
    </w:p>
    <w:p>
      <w:pPr>
        <w:spacing w:after="150" w:before="0"/>
        <w:jc w:val="both"/>
      </w:pPr>
      <w:r>
        <w:rPr>
          <w:rFonts w:ascii="Calibri" w:cs="Calibri" w:eastAsia="Calibri" w:hAnsi="Calibri"/>
          <w:color w:val="333333"/>
          <w:sz w:val="22"/>
          <w:szCs w:val="22"/>
        </w:rPr>
        <w:t xml:space="preserve">The review shall be documented in a model review memo signed by the reviewer.</w:t>
      </w:r>
    </w:p>
    <w:p>
      <w:pPr>
        <w:pStyle w:val="Heading2"/>
        <w:spacing w:after="150" w:before="300"/>
      </w:pPr>
      <w:r>
        <w:rPr>
          <w:rFonts w:ascii="Georgia" w:cs="Georgia" w:eastAsia="Georgia" w:hAnsi="Georgia"/>
          <w:b/>
          <w:bCs/>
          <w:color w:val="333333"/>
          <w:sz w:val="26"/>
          <w:szCs w:val="26"/>
        </w:rPr>
        <w:t xml:space="preserve">5.3 Model Maintenance</w:t>
      </w:r>
    </w:p>
    <w:p>
      <w:pPr>
        <w:spacing w:after="150" w:before="0"/>
        <w:jc w:val="both"/>
      </w:pPr>
      <w:r>
        <w:rPr>
          <w:rFonts w:ascii="Calibri" w:cs="Calibri" w:eastAsia="Calibri" w:hAnsi="Calibri"/>
          <w:color w:val="333333"/>
          <w:sz w:val="22"/>
          <w:szCs w:val="22"/>
        </w:rPr>
        <w:t xml:space="preserve">Models in active use shall be maintained through: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Assumption updates: inputs refreshed when new data is available (e.g., quarterly actuals, updated forecasts)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Structural updates: model logic modified when business conditions change (new revenue streams, reorganization)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recertification: the model owner confirms the model remains accurate and fit for purpose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Retirement: models no longer in use are archived and removed from the active inventory</w:t>
      </w:r>
    </w:p>
    <w:p>
      <w:pPr>
        <w:pStyle w:val="Heading2"/>
        <w:spacing w:after="150" w:before="300"/>
      </w:pPr>
      <w:r>
        <w:rPr>
          <w:rFonts w:ascii="Georgia" w:cs="Georgia" w:eastAsia="Georgia" w:hAnsi="Georgia"/>
          <w:b/>
          <w:bCs/>
          <w:color w:val="333333"/>
          <w:sz w:val="26"/>
          <w:szCs w:val="26"/>
        </w:rPr>
        <w:t xml:space="preserve">5.4 Model Inventory</w:t>
      </w:r>
    </w:p>
    <w:p>
      <w:pPr>
        <w:spacing w:after="150" w:before="0"/>
        <w:jc w:val="both"/>
      </w:pPr>
      <w:r>
        <w:rPr>
          <w:rFonts w:ascii="Calibri" w:cs="Calibri" w:eastAsia="Calibri" w:hAnsi="Calibri"/>
          <w:color w:val="333333"/>
          <w:sz w:val="22"/>
          <w:szCs w:val="22"/>
        </w:rPr>
        <w:t xml:space="preserve">The FP&amp;A Director shall maintain a model inventory listing: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name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Descriptive name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Classification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Critical / Standard / Ad Hoc</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Owner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and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Purpose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decisions the model supports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Key outputs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Valuation, forecast, ROI, etc.</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Last reviewed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 and reviewer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Next review due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Based on review frequency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File path in the repository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Version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Current version number</w:t>
            </w:r>
          </w:p>
        </w:tc>
      </w:tr>
    </w:tbl>
    <w:p>
      <w:pPr>
        <w:pStyle w:val="Heading2"/>
        <w:spacing w:after="150" w:before="300"/>
      </w:pPr>
      <w:r>
        <w:rPr>
          <w:rFonts w:ascii="Georgia" w:cs="Georgia" w:eastAsia="Georgia" w:hAnsi="Georgia"/>
          <w:b/>
          <w:bCs/>
          <w:color w:val="333333"/>
          <w:sz w:val="26"/>
          <w:szCs w:val="26"/>
        </w:rPr>
        <w:t xml:space="preserve">5.5 Spreadsheet Risk Mitigation</w:t>
      </w:r>
    </w:p>
    <w:p>
      <w:pPr>
        <w:spacing w:after="150" w:before="0"/>
        <w:jc w:val="both"/>
      </w:pPr>
      <w:r>
        <w:rPr>
          <w:rFonts w:ascii="Calibri" w:cs="Calibri" w:eastAsia="Calibri" w:hAnsi="Calibri"/>
          <w:color w:val="333333"/>
          <w:sz w:val="22"/>
          <w:szCs w:val="22"/>
        </w:rPr>
        <w:t xml:space="preserve">Common spreadsheet risks and required mitigations: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Risk</w:t>
            </w:r>
          </w:p>
        </w:tc>
        <w:tc>
          <w:tcPr>
            <w:tcW w:type="dxa" w:w="6160"/>
            <w:shd w:fill="0C0C0C" w:val="clear"/>
          </w:tcPr>
          <w:p>
            <w:pPr>
              <w:spacing w:after="60" w:before="60"/>
            </w:pPr>
            <w:r>
              <w:rPr>
                <w:rFonts w:ascii="Calibri" w:cs="Calibri" w:eastAsia="Calibri" w:hAnsi="Calibri"/>
                <w:b/>
                <w:bCs/>
                <w:color w:val="D4AF37"/>
                <w:sz w:val="20"/>
                <w:szCs w:val="20"/>
              </w:rPr>
              <w:t xml:space="preserve">Mitigation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Formula errors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Independent review, error checks, hand-verification of key outputs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Version confusion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Naming convention, change log, repository storage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Unauthorized changes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Password protection, restricted write access, change tracking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Stale assumptions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Dated inputs, assumption refresh schedule, annual recertification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Broken links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Minimize external links; where required, document and verify at each use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Circular references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Prohibited unless documented; iteration settings locked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Copy/paste errors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Consistent formula structure; avoid one-off formulas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Model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Critical model classification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FP&amp;A Director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Critical model approval for use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Model owner + reviewer sign-off</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Model used for SEC disclosure or Board decision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or CFO review of model output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Model methodology change (critical model)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Model owner + independent review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Model retirement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Model owner + FP&amp;A Director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Model access grant (write access to critical model)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Model owner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Model governance policy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FP&amp;A Director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Time-sensitive decisions may require model outputs before the full independent review is complete. In such cases: the model owner shall perform an enhanced self-review and document the key calculations, the CFO shall be informed that the model has not been independently reviewed, the decision memo shall note the model's review status, and the independent review shall be completed within [10] business days after the decision. Model errors discovered after a decision has been made shall be reported to the model owner, FP&amp;A Director, and CFO immediately, with an assessment of whether the decision needs to be revisited.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model inventory review (completeness and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recertification of all critical models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model governance compliance audit by Internal Audit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Ongoing monitoring of model review completion rates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models with current independent review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Model inventory completeness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critical models documented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Model errors discovered post-decision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recertification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critical models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Development standards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for critical models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Version control compliance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for critical models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M&amp;A &amp; Corporate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Allocation &amp; CapEx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Goodwill &amp; Intangible Impairment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European Spreadsheet Risks Interest Group (EuSpRIG) best practices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Model Review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key formulas verified (hand calculation or audit tool)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Assumptions documented and sourced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Error checks present and passing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circular references (or documented if required)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hard codes in formula cells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Consistent formula structure across rows/columns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Sensitivity analysis produces reasonable results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Stress test with extreme inputs does not break the model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Version number and date displayed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Color coding convention followed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Change log up to date</w:t>
      </w:r>
    </w:p>
    <w:p>
      <w:pPr>
        <w:pStyle w:val="Heading2"/>
        <w:spacing w:after="150" w:before="300"/>
      </w:pPr>
      <w:r>
        <w:rPr>
          <w:rFonts w:ascii="Georgia" w:cs="Georgia" w:eastAsia="Georgia" w:hAnsi="Georgia"/>
          <w:b/>
          <w:bCs/>
          <w:color w:val="333333"/>
          <w:sz w:val="26"/>
          <w:szCs w:val="26"/>
        </w:rPr>
        <w:t xml:space="preserve">Appendix B — Change Log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Version</w:t>
            </w:r>
          </w:p>
        </w:tc>
        <w:tc>
          <w:tcPr>
            <w:tcW w:type="dxa" w:w="6160"/>
            <w:shd w:fill="0C0C0C" w:val="clear"/>
          </w:tcPr>
          <w:p>
            <w:pPr>
              <w:spacing w:after="60" w:before="60"/>
            </w:pPr>
            <w:r>
              <w:rPr>
                <w:rFonts w:ascii="Calibri" w:cs="Calibri" w:eastAsia="Calibri" w:hAnsi="Calibri"/>
                <w:b/>
                <w:bCs/>
                <w:color w:val="D4AF37"/>
                <w:sz w:val="20"/>
                <w:szCs w:val="20"/>
              </w:rPr>
              <w:t xml:space="preserve">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v1.0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v1.1</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Financial Model Governance &amp; Version Control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2026-07-13T17:13:03.392Z</dcterms:created>
  <dcterms:modified xsi:type="dcterms:W3CDTF">2026-07-13T17:13:03.392Z</dcterms:modified>
</cp:coreProperties>
</file>

<file path=docProps/custom.xml><?xml version="1.0" encoding="utf-8"?>
<Properties xmlns="http://schemas.openxmlformats.org/officeDocument/2006/custom-properties" xmlns:vt="http://schemas.openxmlformats.org/officeDocument/2006/docPropsVTypes"/>
</file>