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External Audit Coordination &amp; Management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External Audit Coordination and Management Policy establishes the standards, procedures, and governance framework for [Company Name]'s relationship with its independent external auditor. The policy ensures an efficient and effective audit process, maintains auditor independence, and defines the roles and expectations of management and the audit team throughout the annual audit cycle.</w:t>
      </w:r>
    </w:p>
    <w:p>
      <w:pPr>
        <w:spacing w:after="150" w:before="0"/>
        <w:jc w:val="both"/>
      </w:pPr>
      <w:r>
        <w:rPr>
          <w:rFonts w:ascii="Calibri" w:cs="Calibri" w:eastAsia="Calibri" w:hAnsi="Calibri"/>
          <w:color w:val="333333"/>
          <w:sz w:val="22"/>
          <w:szCs w:val="22"/>
        </w:rPr>
        <w:t xml:space="preserve">This policy applies to all interactions with the external auditor including: the annual financial statement audit (integrated with the SOX 404 attestation), quarterly reviews, comfort letter procedures for securities offerings, and other attestation or advisory services.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Manage the external audit process efficiently to minimize disruption and cost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a constructive, professional relationship with the external auditor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auditor independence is preserved in all engagements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Deliver audit-ready prepared by client (PBC) schedules on time and at high quality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Coordinate the audit timeline with the financial close to meet SEC filing deadlines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Audit Committee oversight of the auditor relationship per SOX</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Integrated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combined audit of the financial statements and the effectiveness of internal control over financial reporting (ICFR) per PCAOB standards and SOX 404.</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PBC (Prepared by Client)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Audit support schedules, documents, and information prepared by [Company Name] and provided to the auditor per the PBC request list.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Plan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auditor's documented approach to the audit: scope, risk assessment, timing, and staffing.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Materiality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threshold used by the auditor to determine the size of misstatements that would influence investor decisions.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Sampling</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auditor's selection of a subset of transactions or balances for detailed testing.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Management Representation Letter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letter from management to the auditor making representations about the financial statements, internal controls, and completeness of information.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Auditor Independence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requirement that the external auditor remain free from financial, employment, and business relationships that could impair objectivity.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Non-Audit Services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Services other than the financial statement audit and quarterly reviews (tax, consulting, advisory) subject to independence restrictions.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Fee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compensation paid to the external auditor for audit and audit-related services.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Engagement Letter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formal agreement between [Company Name] and the auditor defining the scope, timing, fees, and responsibilities.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Auditor Selection and Retention</w:t>
      </w:r>
    </w:p>
    <w:p>
      <w:pPr>
        <w:spacing w:after="150" w:before="0"/>
        <w:jc w:val="both"/>
      </w:pPr>
      <w:r>
        <w:rPr>
          <w:rFonts w:ascii="Calibri" w:cs="Calibri" w:eastAsia="Calibri" w:hAnsi="Calibri"/>
          <w:color w:val="333333"/>
          <w:sz w:val="22"/>
          <w:szCs w:val="22"/>
        </w:rPr>
        <w:t xml:space="preserve">The Audit Committee is responsible for: appointing, compensating, retaining, and overseeing the external auditor. The external auditor reports directly to the Audit Committee, not to management. Auditor selection shall consider: audit quality and PCAOB inspection results, industry expertise, global capability (for international subsidiaries), proposed fees relative to market, team continuity and partner rotation compliance, and independence (no prohibited relationships).</w:t>
      </w:r>
    </w:p>
    <w:p>
      <w:pPr>
        <w:pStyle w:val="Heading2"/>
        <w:spacing w:after="150" w:before="300"/>
      </w:pPr>
      <w:r>
        <w:rPr>
          <w:rFonts w:ascii="Georgia" w:cs="Georgia" w:eastAsia="Georgia" w:hAnsi="Georgia"/>
          <w:b/>
          <w:bCs/>
          <w:color w:val="333333"/>
          <w:sz w:val="26"/>
          <w:szCs w:val="26"/>
        </w:rPr>
        <w:t xml:space="preserve">3.2 Auditor Independence</w:t>
      </w:r>
    </w:p>
    <w:p>
      <w:pPr>
        <w:spacing w:after="150" w:before="0"/>
        <w:jc w:val="both"/>
      </w:pPr>
      <w:r>
        <w:rPr>
          <w:rFonts w:ascii="Calibri" w:cs="Calibri" w:eastAsia="Calibri" w:hAnsi="Calibri"/>
          <w:color w:val="333333"/>
          <w:sz w:val="22"/>
          <w:szCs w:val="22"/>
        </w:rPr>
        <w:t xml:space="preserve">[Company Name] shall protect auditor independence through: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Pre-approval of all audit and non-audit services by the Audit Committee (per SOX 202)</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Prohibition of non-audit services that would impair independence (bookkeeping, financial system design, management functions, internal audit outsourcing, legal services, expert services)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Cooling-off period: no former audit team member may join [Company Name] in a financial reporting oversight role for [1] year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independence confirmation from the auditor</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Controller responsibility to verify no prohibited relationships or services before engaging the audit firm for any work</w:t>
      </w:r>
    </w:p>
    <w:p>
      <w:pPr>
        <w:pStyle w:val="Heading2"/>
        <w:spacing w:after="150" w:before="300"/>
      </w:pPr>
      <w:r>
        <w:rPr>
          <w:rFonts w:ascii="Georgia" w:cs="Georgia" w:eastAsia="Georgia" w:hAnsi="Georgia"/>
          <w:b/>
          <w:bCs/>
          <w:color w:val="333333"/>
          <w:sz w:val="26"/>
          <w:szCs w:val="26"/>
        </w:rPr>
        <w:t xml:space="preserve">3.3 PBC Standards</w:t>
      </w:r>
    </w:p>
    <w:p>
      <w:pPr>
        <w:spacing w:after="150" w:before="0"/>
        <w:jc w:val="both"/>
      </w:pPr>
      <w:r>
        <w:rPr>
          <w:rFonts w:ascii="Calibri" w:cs="Calibri" w:eastAsia="Calibri" w:hAnsi="Calibri"/>
          <w:color w:val="333333"/>
          <w:sz w:val="22"/>
          <w:szCs w:val="22"/>
        </w:rPr>
        <w:t xml:space="preserve">All PBC deliverables shall be: complete and accurate before delivery to the auditor, delivered by the agreed-upon deadline (per the PBC schedule), prepared by a knowledgeable individual and reviewed by a supervisor, supported by source documentation accessible for auditor verification, and formatted consistently per [Company Name]'s PBC template standards. Late or low-quality PBC delivery directly increases audit fees and delays the filing timeline.</w:t>
      </w:r>
    </w:p>
    <w:p>
      <w:pPr>
        <w:pStyle w:val="Heading2"/>
        <w:spacing w:after="150" w:before="300"/>
      </w:pPr>
      <w:r>
        <w:rPr>
          <w:rFonts w:ascii="Georgia" w:cs="Georgia" w:eastAsia="Georgia" w:hAnsi="Georgia"/>
          <w:b/>
          <w:bCs/>
          <w:color w:val="333333"/>
          <w:sz w:val="26"/>
          <w:szCs w:val="26"/>
        </w:rPr>
        <w:t xml:space="preserve">3.4 Audit Fee Management</w:t>
      </w:r>
    </w:p>
    <w:p>
      <w:pPr>
        <w:spacing w:after="150" w:before="0"/>
        <w:jc w:val="both"/>
      </w:pPr>
      <w:r>
        <w:rPr>
          <w:rFonts w:ascii="Calibri" w:cs="Calibri" w:eastAsia="Calibri" w:hAnsi="Calibri"/>
          <w:color w:val="333333"/>
          <w:sz w:val="22"/>
          <w:szCs w:val="22"/>
        </w:rPr>
        <w:t xml:space="preserve">Audit fees shall be: negotiated by the CFO and recommended to the Audit Committee for approval, benchmarked against peer companies for reasonableness, evaluated for scope changes that may increase fees (new standards, acquisitions, restatements), and managed through efficient PBC delivery and issue resolution to minimize out-of-scope hours.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Committee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Appoints and oversees the auditor. Pre-approves services and fees. Reviews audit results. Meets with auditors in executive session.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overall audit relationship. Negotiates fees. Resolves significant audit issues. Signs the management representation letter.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Serves as the primary day-to-day audit contact. Manages PBC delivery. Coordinates audit fieldwork logistics. Resolves audit queries.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Coordinator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Manages the PBC list and tracking system. Distributes PBC requests to preparers. Monitors deadlines. Maintains the audit portal.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Accounting Staff</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 PBC schedules. Respond to auditor queries. Provide supporting documentation.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SOX Program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Coordinates the ICFR audit. Provides control documentation and testing results. Discusses control deficiencies.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General Counsel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Responds to audit inquiry letters regarding litigation. Reviews the management representation letter.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Shares audit plans and findings with the external auditor. Coordinates to avoid duplication of effort.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Annual Audit Timeline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Phase</w:t>
            </w:r>
          </w:p>
        </w:tc>
        <w:tc>
          <w:tcPr>
            <w:tcW w:type="dxa" w:w="6160"/>
            <w:shd w:fill="0C0C0C" w:val="clear"/>
          </w:tcPr>
          <w:p>
            <w:pPr>
              <w:spacing w:after="60" w:before="60"/>
            </w:pPr>
            <w:r>
              <w:rPr>
                <w:rFonts w:ascii="Calibri" w:cs="Calibri" w:eastAsia="Calibri" w:hAnsi="Calibri"/>
                <w:b/>
                <w:bCs/>
                <w:color w:val="D4AF37"/>
                <w:sz w:val="20"/>
                <w:szCs w:val="20"/>
              </w:rPr>
              <w:t xml:space="preserve">Timing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Engagement letter and fee approval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[Q3] (for December year-end companies)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planning and risk assessment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[Q3]</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Interim fieldwork (controls testing, walkthroughs)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[Q3-Q4]</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Year-end fieldwork (substantive testing)</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[January-February]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Draft financial statements provided to auditor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Day [X] after year-end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completion and opinion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Day [X] after year-end</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Committee meeting (audit results)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Before 10-K filing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10-K filing with auditor opinion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[60] days after year-end (accelerated filer)</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Quarterly review procedures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[X] days of each quarter-end</w:t>
            </w:r>
          </w:p>
        </w:tc>
      </w:tr>
    </w:tbl>
    <w:p>
      <w:pPr>
        <w:pStyle w:val="Heading2"/>
        <w:spacing w:after="150" w:before="300"/>
      </w:pPr>
      <w:r>
        <w:rPr>
          <w:rFonts w:ascii="Georgia" w:cs="Georgia" w:eastAsia="Georgia" w:hAnsi="Georgia"/>
          <w:b/>
          <w:bCs/>
          <w:color w:val="333333"/>
          <w:sz w:val="26"/>
          <w:szCs w:val="26"/>
        </w:rPr>
        <w:t xml:space="preserve">5.2 PBC Management Process</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Auditor provides the PBC request list [X] weeks before fieldwork</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Audit Coordinator reviews the list for clarity, removes duplicates, and distributes to preparers</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Preparers acknowledge assignments and committed delivery dates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PBC schedules are prepared per template standards and reviewed by supervisors</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Completed PBCs are uploaded to the secure audit portal by the deadline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Audit Coordinator tracks completion rates and follows up on overdue items daily</w:t>
      </w:r>
    </w:p>
    <w:p>
      <w:pPr>
        <w:spacing w:after="80"/>
        <w:ind w:left="720"/>
      </w:pPr>
      <w:r>
        <w:rPr>
          <w:rFonts w:ascii="Calibri" w:cs="Calibri" w:eastAsia="Calibri" w:hAnsi="Calibri"/>
          <w:b/>
          <w:bCs/>
          <w:color w:val="D4AF37"/>
          <w:sz w:val="22"/>
          <w:szCs w:val="22"/>
        </w:rPr>
        <w:t xml:space="preserve">7.  </w:t>
      </w:r>
      <w:r>
        <w:rPr>
          <w:rFonts w:ascii="Calibri" w:cs="Calibri" w:eastAsia="Calibri" w:hAnsi="Calibri"/>
          <w:color w:val="333333"/>
          <w:sz w:val="22"/>
          <w:szCs w:val="22"/>
        </w:rPr>
        <w:t xml:space="preserve">Late items are escalated: Day 1 → Accounting Manager, Day 3 → Controller, Day 5 → CFO</w:t>
      </w:r>
    </w:p>
    <w:p>
      <w:pPr>
        <w:pStyle w:val="Heading2"/>
        <w:spacing w:after="150" w:before="300"/>
      </w:pPr>
      <w:r>
        <w:rPr>
          <w:rFonts w:ascii="Georgia" w:cs="Georgia" w:eastAsia="Georgia" w:hAnsi="Georgia"/>
          <w:b/>
          <w:bCs/>
          <w:color w:val="333333"/>
          <w:sz w:val="26"/>
          <w:szCs w:val="26"/>
        </w:rPr>
        <w:t xml:space="preserve">5.3 Audit Issue Resolution</w:t>
      </w:r>
    </w:p>
    <w:p>
      <w:pPr>
        <w:spacing w:after="150" w:before="0"/>
        <w:jc w:val="both"/>
      </w:pPr>
      <w:r>
        <w:rPr>
          <w:rFonts w:ascii="Calibri" w:cs="Calibri" w:eastAsia="Calibri" w:hAnsi="Calibri"/>
          <w:color w:val="333333"/>
          <w:sz w:val="22"/>
          <w:szCs w:val="22"/>
        </w:rPr>
        <w:t xml:space="preserve">Audit issues (proposed adjustments, control deficiencies, disagreements) shall be resolved through:</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Auditor communicates the issue to the Controller</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Controller investigates and prepares [Company Name]'s position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Controller and auditor discuss and attempt to resolve</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Unresolved issues are escalated to the CFO</w:t>
      </w:r>
    </w:p>
    <w:p>
      <w:pPr>
        <w:spacing w:after="80"/>
        <w:ind w:left="720"/>
      </w:pPr>
      <w:r>
        <w:rPr>
          <w:rFonts w:ascii="Calibri" w:cs="Calibri" w:eastAsia="Calibri" w:hAnsi="Calibri"/>
          <w:b/>
          <w:bCs/>
          <w:color w:val="D4AF37"/>
          <w:sz w:val="22"/>
          <w:szCs w:val="22"/>
        </w:rPr>
        <w:t xml:space="preserve">5.  </w:t>
      </w:r>
      <w:r>
        <w:rPr>
          <w:rFonts w:ascii="Calibri" w:cs="Calibri" w:eastAsia="Calibri" w:hAnsi="Calibri"/>
          <w:color w:val="333333"/>
          <w:sz w:val="22"/>
          <w:szCs w:val="22"/>
        </w:rPr>
        <w:t xml:space="preserve">Significant issues are presented to the Audit Committee</w:t>
      </w:r>
    </w:p>
    <w:p>
      <w:pPr>
        <w:spacing w:after="80"/>
        <w:ind w:left="720"/>
      </w:pPr>
      <w:r>
        <w:rPr>
          <w:rFonts w:ascii="Calibri" w:cs="Calibri" w:eastAsia="Calibri" w:hAnsi="Calibri"/>
          <w:b/>
          <w:bCs/>
          <w:color w:val="D4AF37"/>
          <w:sz w:val="22"/>
          <w:szCs w:val="22"/>
        </w:rPr>
        <w:t xml:space="preserve">6.  </w:t>
      </w:r>
      <w:r>
        <w:rPr>
          <w:rFonts w:ascii="Calibri" w:cs="Calibri" w:eastAsia="Calibri" w:hAnsi="Calibri"/>
          <w:color w:val="333333"/>
          <w:sz w:val="22"/>
          <w:szCs w:val="22"/>
        </w:rPr>
        <w:t xml:space="preserve">All audit adjustments (recorded and unrecorded) are tracked on the Summary of Audit Differences</w:t>
      </w:r>
    </w:p>
    <w:p>
      <w:pPr>
        <w:pStyle w:val="Heading2"/>
        <w:spacing w:after="150" w:before="300"/>
      </w:pPr>
      <w:r>
        <w:rPr>
          <w:rFonts w:ascii="Georgia" w:cs="Georgia" w:eastAsia="Georgia" w:hAnsi="Georgia"/>
          <w:b/>
          <w:bCs/>
          <w:color w:val="333333"/>
          <w:sz w:val="26"/>
          <w:szCs w:val="26"/>
        </w:rPr>
        <w:t xml:space="preserve">5.4 Pre-Approval of Non-Audit Services</w:t>
      </w:r>
    </w:p>
    <w:p>
      <w:pPr>
        <w:spacing w:after="150" w:before="0"/>
        <w:jc w:val="both"/>
      </w:pPr>
      <w:r>
        <w:rPr>
          <w:rFonts w:ascii="Calibri" w:cs="Calibri" w:eastAsia="Calibri" w:hAnsi="Calibri"/>
          <w:color w:val="333333"/>
          <w:sz w:val="22"/>
          <w:szCs w:val="22"/>
        </w:rPr>
        <w:t xml:space="preserve">All services provided by the external auditor (beyond the annual audit and quarterly reviews) shall be: pre-approved by the Audit Committee before engagement, evaluated for independence implications, documented with scope description and fee estimate, and reported to the Audit Committee in the annual auditor fee disclosure. The CFO may pre-approve de minimis non-audit services up to [$X] per engagement and [$X] in aggregate, with Audit Committee ratification at the next meeting.</w:t>
      </w:r>
    </w:p>
    <w:p>
      <w:pPr>
        <w:pStyle w:val="Heading2"/>
        <w:spacing w:after="150" w:before="300"/>
      </w:pPr>
      <w:r>
        <w:rPr>
          <w:rFonts w:ascii="Georgia" w:cs="Georgia" w:eastAsia="Georgia" w:hAnsi="Georgia"/>
          <w:b/>
          <w:bCs/>
          <w:color w:val="333333"/>
          <w:sz w:val="26"/>
          <w:szCs w:val="26"/>
        </w:rPr>
        <w:t xml:space="preserve">5.5 Auditor Communication</w:t>
      </w:r>
    </w:p>
    <w:p>
      <w:pPr>
        <w:pStyle w:val="Heading3"/>
        <w:spacing w:after="100" w:before="200"/>
      </w:pPr>
      <w:r>
        <w:rPr>
          <w:rFonts w:ascii="Georgia" w:cs="Georgia" w:eastAsia="Georgia" w:hAnsi="Georgia"/>
          <w:b/>
          <w:bCs/>
          <w:color w:val="444444"/>
          <w:sz w:val="22"/>
          <w:szCs w:val="22"/>
        </w:rPr>
        <w:t xml:space="preserve">5.5.1 Required Communications</w:t>
      </w:r>
    </w:p>
    <w:p>
      <w:pPr>
        <w:spacing w:after="150" w:before="0"/>
        <w:jc w:val="both"/>
      </w:pPr>
      <w:r>
        <w:rPr>
          <w:rFonts w:ascii="Calibri" w:cs="Calibri" w:eastAsia="Calibri" w:hAnsi="Calibri"/>
          <w:color w:val="333333"/>
          <w:sz w:val="22"/>
          <w:szCs w:val="22"/>
        </w:rPr>
        <w:t xml:space="preserve">The external auditor is required to communicate the following to the Audit Committee (per PCAOB AS 1301): the auditor's responsibilities, the planned scope and timing of the audit, significant findings (including critical audit matters), difficult or contentious issues, disagreements with management, and other matters required by PCAOB standards.</w:t>
      </w:r>
    </w:p>
    <w:p>
      <w:pPr>
        <w:pStyle w:val="Heading3"/>
        <w:spacing w:after="100" w:before="200"/>
      </w:pPr>
      <w:r>
        <w:rPr>
          <w:rFonts w:ascii="Georgia" w:cs="Georgia" w:eastAsia="Georgia" w:hAnsi="Georgia"/>
          <w:b/>
          <w:bCs/>
          <w:color w:val="444444"/>
          <w:sz w:val="22"/>
          <w:szCs w:val="22"/>
        </w:rPr>
        <w:t xml:space="preserve">5.5.2 Management Communication</w:t>
      </w:r>
    </w:p>
    <w:p>
      <w:pPr>
        <w:spacing w:after="150" w:before="0"/>
        <w:jc w:val="both"/>
      </w:pPr>
      <w:r>
        <w:rPr>
          <w:rFonts w:ascii="Calibri" w:cs="Calibri" w:eastAsia="Calibri" w:hAnsi="Calibri"/>
          <w:color w:val="333333"/>
          <w:sz w:val="22"/>
          <w:szCs w:val="22"/>
        </w:rPr>
        <w:t xml:space="preserve">The Controller shall meet with the audit team: weekly during fieldwork, monthly during non-fieldwork periods, and as needed for urgent issues. The CFO shall meet with the lead audit partner at least quarterly.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Audit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Auditor appointment / retention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Audit fee 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recommends; Audit Committee approves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Non-audit service pre-approval</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&lt; $[X]</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(with AC ratification)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Non-audit service pre-approval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&gt; $[X]</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Audit Committee</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Management representation letter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CEO +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Audit adjustment (record or waive)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 + CFO (waived items disclosed to AC)</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Auditor engagement letter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Audit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Change of audit firm</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Audit Committee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If the auditor identifies a material weakness in ICFR, the Controller shall notify the CFO and Audit Committee immediately. If management and the auditor disagree on a significant accounting matter, the disagreement shall be escalated to the Audit Committee with both positions presented. If the auditor's proposed adjustments would cause a material change in previously reported results, the Controller shall immediately evaluate restatement implications per the Disclosure Controls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PBC delivery timeliness tracked against deadlines (daily during fieldwork)</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Audit fee tracking vs. budget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non-audit service pre-approval log review</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auditor independence confirmation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audit quality assessment (management evaluation of the audit firm)</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PBC delivered on time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[95%+]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completed within planned timeline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On time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 fee vs. budget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Within [5%]</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Audit adjustments (recorded)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Minimized; zero material</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Auditor independence confirmed</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Annually; 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Non-audit services pre-approved before engagement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Financial Close &amp;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Disclosure Controls &amp; Procedures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Board &amp; Audit Committee Reporting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SOX Sections 201, 202, 203 (Auditor Independence)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PCAOB Auditing Standards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Rule 2-01 of Regulation S-X (Independence)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Annual Audit Calendar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Month</w:t>
            </w:r>
          </w:p>
        </w:tc>
        <w:tc>
          <w:tcPr>
            <w:tcW w:type="dxa" w:w="6160"/>
            <w:shd w:fill="0C0C0C" w:val="clear"/>
          </w:tcPr>
          <w:p>
            <w:pPr>
              <w:spacing w:after="60" w:before="60"/>
            </w:pPr>
            <w:r>
              <w:rPr>
                <w:rFonts w:ascii="Calibri" w:cs="Calibri" w:eastAsia="Calibri" w:hAnsi="Calibri"/>
                <w:b/>
                <w:bCs/>
                <w:color w:val="D4AF37"/>
                <w:sz w:val="20"/>
                <w:szCs w:val="20"/>
              </w:rPr>
              <w:t xml:space="preserve">Key Activities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July-August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Engagement letter, fee negotiation, audit planning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September-October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Interim fieldwork, controls walkthroughs, IT audit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November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SOX testing completion, preliminary analytics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December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Year-end cutoff planning, inventory observation planning</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January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Year-end fieldwork begins, substantive testing</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February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Fieldwork completion, financial statement review, disclosure review</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March</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Audit opinion, AC meeting, 10-K filing</w:t>
            </w:r>
          </w:p>
        </w:tc>
      </w:tr>
    </w:tbl>
    <w:p>
      <w:pPr>
        <w:pStyle w:val="Heading2"/>
        <w:spacing w:after="150" w:before="300"/>
      </w:pPr>
      <w:r>
        <w:rPr>
          <w:rFonts w:ascii="Georgia" w:cs="Georgia" w:eastAsia="Georgia" w:hAnsi="Georgia"/>
          <w:b/>
          <w:bCs/>
          <w:color w:val="333333"/>
          <w:sz w:val="26"/>
          <w:szCs w:val="26"/>
        </w:rPr>
        <w:t xml:space="preserve">Appendix B — PBC Tracking Dashboard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Status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Total PBC items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Delivered on time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 ([X%])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Delivered late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 ([X%])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Outstanding (past due)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Auditor queries open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[X]</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Estimated completion 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[Date]</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External Audit Coordination &amp; Management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2026-07-13T17:05:22.368Z</dcterms:created>
  <dcterms:modified xsi:type="dcterms:W3CDTF">2026-07-13T17:05:22.368Z</dcterms:modified>
</cp:coreProperties>
</file>

<file path=docProps/custom.xml><?xml version="1.0" encoding="utf-8"?>
<Properties xmlns="http://schemas.openxmlformats.org/officeDocument/2006/custom-properties" xmlns:vt="http://schemas.openxmlformats.org/officeDocument/2006/docPropsVTypes"/>
</file>