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Joint Venture &amp; Partnership Accounting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Joint Venture and Partnership Accounting Policy establishes the standards, procedures, and controls governing how [Company Name] accounts for, governs, and manages financial reporting related to joint ventures, partnerships, and similar collaborative arrangements. The policy ensures compliance with ASC 323 (Equity Method), ASC 810 (Consolidation for controlled JVs), and ASC 808 (Collaborative Arrangements).</w:t>
      </w:r>
    </w:p>
    <w:p>
      <w:pPr>
        <w:spacing w:after="150" w:before="0"/>
        <w:jc w:val="both"/>
      </w:pPr>
      <w:r>
        <w:rPr>
          <w:rFonts w:ascii="Calibri" w:cs="Calibri" w:eastAsia="Calibri" w:hAnsi="Calibri"/>
          <w:color w:val="333333"/>
          <w:sz w:val="22"/>
          <w:szCs w:val="22"/>
        </w:rPr>
        <w:t xml:space="preserve">This policy applies to all joint venture, partnership, and collaborative arrangements including: equity method investments (significant influence, typically 20-50% ownership), consolidated joint ventures (majority-owned or controlled through contractual rights), proportionate share arrangements, and collaborative arrangements with shared risk and reward.</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Determine the correct accounting method for each JV/partnership (consolidation, equity method, or cost)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governance representation protecting [Company Name]'s interests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 for contributions, distributions, and profit/loss sharing accurately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 JV financial performance and identify impairment indicators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JV-related transactions are properly disclosed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exit rights and put/call provisions effectively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Joint Venture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business arrangement in which two or more parties agree to pool resources for a specific task while maintaining separate identities.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Equity Method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accounting method where the investment is initially recorded at cost and adjusted for [Company Name]'s share of the investee's earnings, losses, and distributions (ASC 323).</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Significant Influence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ability to participate in financial and operating policy decisions without controlling them (typically 20-50% ownership).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Joint Control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Shared control of an arrangement, requiring unanimous consent of the parties sharing control for key decisions.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JV Agreement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legal document defining the JV structure, governance, contributions, profit sharing, exit provisions, and dispute resolution.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Capital Call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request by the JV for additional capital contributions from its partners per the JV agreement.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Distribution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payment from the JV to its partners, typically from JV earnings or return of capital.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Put/Call Option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Contractual rights to sell (put) or purchase (call) a JV interest at a specified price or formula.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Basis Difference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difference between [Company Name]'s carrying amount of the investment and its share of the JV's underlying net assets (often arising from purchase price allocation).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Collaborative Arrangement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activity where parties are active participants with significant exposure to risk and reward (ASC 808).</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Accounting Method Determination</w:t>
      </w:r>
    </w:p>
    <w:p>
      <w:pPr>
        <w:spacing w:after="150" w:before="0"/>
        <w:jc w:val="both"/>
      </w:pPr>
      <w:r>
        <w:rPr>
          <w:rFonts w:ascii="Calibri" w:cs="Calibri" w:eastAsia="Calibri" w:hAnsi="Calibri"/>
          <w:color w:val="333333"/>
          <w:sz w:val="22"/>
          <w:szCs w:val="22"/>
        </w:rPr>
        <w:t xml:space="preserve">The Controller shall determine the accounting method for each JV/partnership based on [Company Name]'s level of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Level of Control</w:t>
            </w:r>
          </w:p>
        </w:tc>
        <w:tc>
          <w:tcPr>
            <w:tcW w:type="dxa" w:w="6160"/>
            <w:shd w:fill="0C0C0C" w:val="clear"/>
          </w:tcPr>
          <w:p>
            <w:pPr>
              <w:spacing w:after="60" w:before="60"/>
            </w:pPr>
            <w:r>
              <w:rPr>
                <w:rFonts w:ascii="Calibri" w:cs="Calibri" w:eastAsia="Calibri" w:hAnsi="Calibri"/>
                <w:b/>
                <w:bCs/>
                <w:color w:val="D4AF37"/>
                <w:sz w:val="20"/>
                <w:szCs w:val="20"/>
              </w:rPr>
              <w:t xml:space="preserve">Accounting Method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 (majority vote or primary beneficiary of VIE)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Full consolidation (ASC 810)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Significant influence (20-50% or board representation)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Equity method (ASC 323)</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 significant influence (&lt; 20%, passive)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Fair value or cost minus impairment (ASC 321)</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Collaborative arrangement with shared risk/reward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ASC 808 (present gross or net per the arrangement)</w:t>
            </w:r>
          </w:p>
        </w:tc>
      </w:tr>
    </w:tbl>
    <w:p>
      <w:pPr>
        <w:spacing w:after="150" w:before="0"/>
        <w:jc w:val="both"/>
      </w:pPr>
      <w:r>
        <w:rPr>
          <w:rFonts w:ascii="Calibri" w:cs="Calibri" w:eastAsia="Calibri" w:hAnsi="Calibri"/>
          <w:color w:val="333333"/>
          <w:sz w:val="22"/>
          <w:szCs w:val="22"/>
        </w:rPr>
        <w:t xml:space="preserve">The determination shall be documented, reviewed by the external auditor, and reassessed when ownership percentages change, governance rights are modified, or other events affect the level of control or influence.</w:t>
      </w:r>
    </w:p>
    <w:p>
      <w:pPr>
        <w:pStyle w:val="Heading2"/>
        <w:spacing w:after="150" w:before="300"/>
      </w:pPr>
      <w:r>
        <w:rPr>
          <w:rFonts w:ascii="Georgia" w:cs="Georgia" w:eastAsia="Georgia" w:hAnsi="Georgia"/>
          <w:b/>
          <w:bCs/>
          <w:color w:val="333333"/>
          <w:sz w:val="26"/>
          <w:szCs w:val="26"/>
        </w:rPr>
        <w:t xml:space="preserve">3.2 Governance Requirements</w:t>
      </w:r>
    </w:p>
    <w:p>
      <w:pPr>
        <w:spacing w:after="150" w:before="0"/>
        <w:jc w:val="both"/>
      </w:pPr>
      <w:r>
        <w:rPr>
          <w:rFonts w:ascii="Calibri" w:cs="Calibri" w:eastAsia="Calibri" w:hAnsi="Calibri"/>
          <w:color w:val="333333"/>
          <w:sz w:val="22"/>
          <w:szCs w:val="22"/>
        </w:rPr>
        <w:t xml:space="preserve">For each JV where [Company Name] has significant influence or greater, [Company Name] shall: appoint board members or management committee representatives per the JV agreement, ensure [Company Name]-appointed representatives have the expertise to exercise effective oversight, establish information rights providing timely financial data for equity method accounting, negotiate protective provisions (veto rights over major decisions: budget, debt, asset sales, changes in business), and maintain audit rights to verify JV financial reporting.</w:t>
      </w:r>
    </w:p>
    <w:p>
      <w:pPr>
        <w:pStyle w:val="Heading2"/>
        <w:spacing w:after="150" w:before="300"/>
      </w:pPr>
      <w:r>
        <w:rPr>
          <w:rFonts w:ascii="Georgia" w:cs="Georgia" w:eastAsia="Georgia" w:hAnsi="Georgia"/>
          <w:b/>
          <w:bCs/>
          <w:color w:val="333333"/>
          <w:sz w:val="26"/>
          <w:szCs w:val="26"/>
        </w:rPr>
        <w:t xml:space="preserve">3.3 Financial Reporting from JVs</w:t>
      </w:r>
    </w:p>
    <w:p>
      <w:pPr>
        <w:spacing w:after="150" w:before="0"/>
        <w:jc w:val="both"/>
      </w:pPr>
      <w:r>
        <w:rPr>
          <w:rFonts w:ascii="Calibri" w:cs="Calibri" w:eastAsia="Calibri" w:hAnsi="Calibri"/>
          <w:color w:val="333333"/>
          <w:sz w:val="22"/>
          <w:szCs w:val="22"/>
        </w:rPr>
        <w:t xml:space="preserve">For equity method JVs, the JV shall provide [Company Name] with: monthly or quarterly financial statements in sufficient detail for equity method accounting, US GAAP-compliant financial data (or sufficient data for GAAP adjustments), annual audited financial statements (by a firm acceptable to [Company Name]), and notification of significant events (material transactions, litigation, impairment indicators).</w:t>
      </w:r>
    </w:p>
    <w:p>
      <w:pPr>
        <w:pStyle w:val="Heading2"/>
        <w:spacing w:after="150" w:before="300"/>
      </w:pPr>
      <w:r>
        <w:rPr>
          <w:rFonts w:ascii="Georgia" w:cs="Georgia" w:eastAsia="Georgia" w:hAnsi="Georgia"/>
          <w:b/>
          <w:bCs/>
          <w:color w:val="333333"/>
          <w:sz w:val="26"/>
          <w:szCs w:val="26"/>
        </w:rPr>
        <w:t xml:space="preserve">3.4 Impairment</w:t>
      </w:r>
    </w:p>
    <w:p>
      <w:pPr>
        <w:spacing w:after="150" w:before="0"/>
        <w:jc w:val="both"/>
      </w:pPr>
      <w:r>
        <w:rPr>
          <w:rFonts w:ascii="Calibri" w:cs="Calibri" w:eastAsia="Calibri" w:hAnsi="Calibri"/>
          <w:color w:val="333333"/>
          <w:sz w:val="22"/>
          <w:szCs w:val="22"/>
        </w:rPr>
        <w:t xml:space="preserve">Equity method investments shall be evaluated for impairment when indicators suggest the investment's value has declined below carrying amount and the decline is other than temporary. Indicators include: sustained operating losses, negative cash flow, loss of a major customer, regulatory changes, or market value below carrying amount. If impairment is other than temporary, the investment is written down to fair value with a loss recognized in earnings.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JV formation and exit. Oversees JV financial performance. Appoints board representatives.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Determines accounting method. Records equity method entries. Reviews JV financial statements. Evaluates impairment.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Unit Leader (JV Sponsor)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operational relationship with JV partners. Monitors JV performance. Reports to the CFO.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JV Board Representative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Exercises [Company Name]'s governance rights. Reports JV board proceedings to the CFO.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Incorporates JV results into consolidated forecasts. Analyzes JV ROI. Models JV scenarios.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JV tax reporting (K-1 processing for partnerships). Evaluates tax implications of contributions and distributions.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Negotiates JV agreements. Manages exit provisions. Handles dispute resolution. Reviews partner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JV controls and financial reporting. Exercises audit rights per the JV agreement.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JV Formation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Business unit identifies a JV opportunity and prepares a business case (strategic rationale, financial projections, partner evaluation)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CFO reviews and approves the JV concept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Legal negotiates the JV agreement (governance, contributions, profit sharing, exit rights, information rights, audit rights, dispute resolution)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determines the accounting method and prepares a technical memo</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Tax evaluates the structure (entity type, tax classification, withholding implications)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Board approves the JV formation (if material)</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JV is formed; initial contribution recorded</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Controller sets up equity method accounting (or consolidation) in the GL</w:t>
      </w:r>
    </w:p>
    <w:p>
      <w:pPr>
        <w:pStyle w:val="Heading2"/>
        <w:spacing w:after="150" w:before="300"/>
      </w:pPr>
      <w:r>
        <w:rPr>
          <w:rFonts w:ascii="Georgia" w:cs="Georgia" w:eastAsia="Georgia" w:hAnsi="Georgia"/>
          <w:b/>
          <w:bCs/>
          <w:color w:val="333333"/>
          <w:sz w:val="26"/>
          <w:szCs w:val="26"/>
        </w:rPr>
        <w:t xml:space="preserve">5.2 Equity Method Accounting</w:t>
      </w:r>
    </w:p>
    <w:p>
      <w:pPr>
        <w:pStyle w:val="Heading3"/>
        <w:spacing w:after="100" w:before="200"/>
      </w:pPr>
      <w:r>
        <w:rPr>
          <w:rFonts w:ascii="Georgia" w:cs="Georgia" w:eastAsia="Georgia" w:hAnsi="Georgia"/>
          <w:b/>
          <w:bCs/>
          <w:color w:val="444444"/>
          <w:sz w:val="22"/>
          <w:szCs w:val="22"/>
        </w:rPr>
        <w:t xml:space="preserve">5.2.1 Initial Recognition</w:t>
      </w:r>
    </w:p>
    <w:p>
      <w:pPr>
        <w:spacing w:after="150" w:before="0"/>
        <w:jc w:val="both"/>
      </w:pPr>
      <w:r>
        <w:rPr>
          <w:rFonts w:ascii="Calibri" w:cs="Calibri" w:eastAsia="Calibri" w:hAnsi="Calibri"/>
          <w:color w:val="333333"/>
          <w:sz w:val="22"/>
          <w:szCs w:val="22"/>
        </w:rPr>
        <w:t xml:space="preserve">The investment is recorded at cost: cash contributed plus the fair value of any non-cash contributions. If the cost exceeds [Company Name]'s share of the JV's underlying net assets, the difference (basis difference) is allocated to identifiable assets and goodwill per ASC 323, similar to purchase price allocation.</w:t>
      </w:r>
    </w:p>
    <w:p>
      <w:pPr>
        <w:pStyle w:val="Heading3"/>
        <w:spacing w:after="100" w:before="200"/>
      </w:pPr>
      <w:r>
        <w:rPr>
          <w:rFonts w:ascii="Georgia" w:cs="Georgia" w:eastAsia="Georgia" w:hAnsi="Georgia"/>
          <w:b/>
          <w:bCs/>
          <w:color w:val="444444"/>
          <w:sz w:val="22"/>
          <w:szCs w:val="22"/>
        </w:rPr>
        <w:t xml:space="preserve">5.2.2 Ongoing Recognition</w:t>
      </w:r>
    </w:p>
    <w:p>
      <w:pPr>
        <w:spacing w:after="150" w:before="0"/>
        <w:jc w:val="both"/>
      </w:pPr>
      <w:r>
        <w:rPr>
          <w:rFonts w:ascii="Calibri" w:cs="Calibri" w:eastAsia="Calibri" w:hAnsi="Calibri"/>
          <w:color w:val="333333"/>
          <w:sz w:val="22"/>
          <w:szCs w:val="22"/>
        </w:rPr>
        <w:t xml:space="preserve">Each period, the Controller shall: record [Company Name]'s share of JV net income or loss (Dr. Investment / Cr. Equity in Earnings for income), record distributions received (Dr. Cash / Cr. Investment), amortize basis differences (intangible assets, depreciation adjustments), eliminate intercompany profit on transactions between [Company Name] and the JV (downstream and upstream), and review the investment for impairment indicators.</w:t>
      </w:r>
    </w:p>
    <w:p>
      <w:pPr>
        <w:pStyle w:val="Heading3"/>
        <w:spacing w:after="100" w:before="200"/>
      </w:pPr>
      <w:r>
        <w:rPr>
          <w:rFonts w:ascii="Georgia" w:cs="Georgia" w:eastAsia="Georgia" w:hAnsi="Georgia"/>
          <w:b/>
          <w:bCs/>
          <w:color w:val="444444"/>
          <w:sz w:val="22"/>
          <w:szCs w:val="22"/>
        </w:rPr>
        <w:t xml:space="preserve">5.2.3 Intercompany Transactions</w:t>
      </w:r>
    </w:p>
    <w:p>
      <w:pPr>
        <w:spacing w:after="150" w:before="0"/>
        <w:jc w:val="both"/>
      </w:pPr>
      <w:r>
        <w:rPr>
          <w:rFonts w:ascii="Calibri" w:cs="Calibri" w:eastAsia="Calibri" w:hAnsi="Calibri"/>
          <w:color w:val="333333"/>
          <w:sz w:val="22"/>
          <w:szCs w:val="22"/>
        </w:rPr>
        <w:t xml:space="preserve">[Company Name]'s transactions with its equity method JVs shall be: disclosed as related party transactions, evaluated for arm's length pricing, and eliminated proportionally: downstream (sales to JV) — eliminate [Company Name]'s proportional share of unrealized profit; upstream (purchases from JV) — eliminate [Company Name]'s proportional share of unrealized profit.</w:t>
      </w:r>
    </w:p>
    <w:p>
      <w:pPr>
        <w:pStyle w:val="Heading2"/>
        <w:spacing w:after="150" w:before="300"/>
      </w:pPr>
      <w:r>
        <w:rPr>
          <w:rFonts w:ascii="Georgia" w:cs="Georgia" w:eastAsia="Georgia" w:hAnsi="Georgia"/>
          <w:b/>
          <w:bCs/>
          <w:color w:val="333333"/>
          <w:sz w:val="26"/>
          <w:szCs w:val="26"/>
        </w:rPr>
        <w:t xml:space="preserve">5.3 JV Performance Monitoring</w:t>
      </w:r>
    </w:p>
    <w:p>
      <w:pPr>
        <w:spacing w:after="150" w:before="0"/>
        <w:jc w:val="both"/>
      </w:pPr>
      <w:r>
        <w:rPr>
          <w:rFonts w:ascii="Calibri" w:cs="Calibri" w:eastAsia="Calibri" w:hAnsi="Calibri"/>
          <w:color w:val="333333"/>
          <w:sz w:val="22"/>
          <w:szCs w:val="22"/>
        </w:rPr>
        <w:t xml:space="preserve">The CFO shall review JV performance quarterly based on: JV financial statements vs. budget/forecast, ROI compared to the original investment thesis, cash distributions vs. projections, operational milestones and KPIs, and partner relationship health. Underperforming JVs shall be evaluated for: operational improvement actions, renegotiation of terms, or exit.</w:t>
      </w:r>
    </w:p>
    <w:p>
      <w:pPr>
        <w:pStyle w:val="Heading2"/>
        <w:spacing w:after="150" w:before="300"/>
      </w:pPr>
      <w:r>
        <w:rPr>
          <w:rFonts w:ascii="Georgia" w:cs="Georgia" w:eastAsia="Georgia" w:hAnsi="Georgia"/>
          <w:b/>
          <w:bCs/>
          <w:color w:val="333333"/>
          <w:sz w:val="26"/>
          <w:szCs w:val="26"/>
        </w:rPr>
        <w:t xml:space="preserve">5.4 Exit and Dissolution</w:t>
      </w:r>
    </w:p>
    <w:p>
      <w:pPr>
        <w:spacing w:after="150" w:before="0"/>
        <w:jc w:val="both"/>
      </w:pPr>
      <w:r>
        <w:rPr>
          <w:rFonts w:ascii="Calibri" w:cs="Calibri" w:eastAsia="Calibri" w:hAnsi="Calibri"/>
          <w:color w:val="333333"/>
          <w:sz w:val="22"/>
          <w:szCs w:val="22"/>
        </w:rPr>
        <w:t xml:space="preserve">When [Company Name] decides to exit a JV: Legal evaluates exit rights under the JV agreement (put options, tag-along, drag-along), FP&amp;A values the JV interest for negotiation purposes, Controller determines the accounting for the exit (gain/loss on disposal), Tax evaluates the tax consequences of the exit, and the exit is approved per the authority matrix.</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JV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JV formation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$5M investment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JV formation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$5M investment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Capital call response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approved commitment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Capital call response (incremental)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JV exit / disposition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JV agreement amendment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Accounting method determination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Impairment recognition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JV board representative appointment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JV partners who fail to provide timely financial data shall be notified formally by Legal. If data is not received within [30] days, [Company Name] shall use the best available estimates and disclose the limitation. If a JV partner disputes profit sharing or governance rights, the matter shall be escalated to the CFO and Legal for dispute resolution per the JV agreement. Deadlocked JV governance decisions shall be escalated through the dispute resolution mechanism in the JV agreement.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JV financial results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impairment indicator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JV agreement compliance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JV ROI analysis vs. original investment thesis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intercompany transaction review with JVs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JV financial data received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Equity method entries recorded within close timeline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JV ROI vs. original business case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On track or improving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Impairment indicators assessed quarterly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Intercompany profit elimination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M&amp;A &amp; Corporate Development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Consolidation &amp; Elimination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Related Party Transactions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323, Equity Method Investments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810, Consolidation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808, Collaborative Arrangements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321, Investments — Equity Securities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JV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JV Name</w:t>
            </w:r>
          </w:p>
        </w:tc>
        <w:tc>
          <w:tcPr>
            <w:tcW w:type="dxa" w:w="2400"/>
            <w:shd w:fill="0C0C0C" w:val="clear"/>
          </w:tcPr>
          <w:p>
            <w:pPr>
              <w:spacing w:after="60" w:before="60"/>
            </w:pPr>
            <w:r>
              <w:rPr>
                <w:rFonts w:ascii="Calibri" w:cs="Calibri" w:eastAsia="Calibri" w:hAnsi="Calibri"/>
                <w:b/>
                <w:bCs/>
                <w:color w:val="D4AF37"/>
                <w:sz w:val="20"/>
                <w:szCs w:val="20"/>
              </w:rPr>
              <w:t xml:space="preserve">Partner(s)</w:t>
            </w:r>
          </w:p>
        </w:tc>
        <w:tc>
          <w:tcPr>
            <w:tcW w:type="dxa" w:w="4560"/>
            <w:shd w:fill="0C0C0C" w:val="clear"/>
          </w:tcPr>
          <w:p>
            <w:pPr>
              <w:spacing w:after="60" w:before="60"/>
            </w:pPr>
            <w:r>
              <w:rPr>
                <w:rFonts w:ascii="Calibri" w:cs="Calibri" w:eastAsia="Calibri" w:hAnsi="Calibri"/>
                <w:b/>
                <w:bCs/>
                <w:color w:val="D4AF37"/>
                <w:sz w:val="20"/>
                <w:szCs w:val="20"/>
              </w:rPr>
              <w:t xml:space="preserve">Ownership %</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Equity Method Rollforward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Component</w:t>
            </w:r>
          </w:p>
        </w:tc>
        <w:tc>
          <w:tcPr>
            <w:tcW w:type="dxa" w:w="6160"/>
            <w:shd w:fill="0C0C0C" w:val="clear"/>
          </w:tcPr>
          <w:p>
            <w:pPr>
              <w:spacing w:after="60" w:before="60"/>
            </w:pPr>
            <w:r>
              <w:rPr>
                <w:rFonts w:ascii="Calibri" w:cs="Calibri" w:eastAsia="Calibri" w:hAnsi="Calibri"/>
                <w:b/>
                <w:bCs/>
                <w:color w:val="D4AF37"/>
                <w:sz w:val="20"/>
                <w:szCs w:val="20"/>
              </w:rPr>
              <w:t xml:space="preserve">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Beginning investment balance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Share of JV net income (loss)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Distributions received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Basis difference amortization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Intercompany profit elimination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Foreign currency translation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Impairment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Ending investment balance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Joint Venture &amp; Partnership Accounting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2026-07-13T17:05:22.260Z</dcterms:created>
  <dcterms:modified xsi:type="dcterms:W3CDTF">2026-07-13T17:05:22.260Z</dcterms:modified>
</cp:coreProperties>
</file>

<file path=docProps/custom.xml><?xml version="1.0" encoding="utf-8"?>
<Properties xmlns="http://schemas.openxmlformats.org/officeDocument/2006/custom-properties" xmlns:vt="http://schemas.openxmlformats.org/officeDocument/2006/docPropsVTypes"/>
</file>