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Foreign Subsidiary Statutory Compliance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Foreign Subsidiary Statutory Compliance Policy establishes the standards, procedures, and controls for ensuring that [Company Name]'s foreign subsidiaries comply with local statutory reporting, audit, tax, labor, and corporate governance requirements in each country of operation. The policy bridges the gap between US GAAP consolidated reporting and local country compliance obligations.</w:t>
      </w:r>
    </w:p>
    <w:p>
      <w:pPr>
        <w:spacing w:after="150" w:before="0"/>
        <w:jc w:val="both"/>
      </w:pPr>
      <w:r>
        <w:rPr>
          <w:rFonts w:ascii="Calibri" w:cs="Calibri" w:eastAsia="Calibri" w:hAnsi="Calibri"/>
          <w:color w:val="333333"/>
          <w:sz w:val="22"/>
          <w:szCs w:val="22"/>
        </w:rPr>
        <w:t xml:space="preserve">This policy applies to all foreign subsidiaries, branches, and representative offices of [Company Name] regardless of size, including: wholly-owned foreign subsidiaries, majority-owned foreign subsidiaries, foreign branches of the parent or a domestic subsidiary, and representative offices.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foreign subsidiaries comply with local statutory filing and reporting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local GAAP financial statement preparation alongside US GAAP reporting packages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local statutory audits efficiently in coordination with the group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local tax registration, filing, and payment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corporate governance compliance (local directors, registered offices, annual meetings)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the risk of penalties, fines, or loss of good standing in foreign jurisdictions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Statutory Financial Statements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Financial statements prepared under the local country's GAAP and filed with the local regulatory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Local GAAP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accounting standards required in the subsidiary's country of incorporation (e.g., IFRS, UK GAAP, Japan GAAP).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Statutory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audit of the statutory financial statements required by local law, performed by a locally qualified auditor.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Group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audit of [Company Name]'s consolidated financial statements under US GAAP, coordinated by the group auditor.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Component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local audit firm performing audit procedures on a foreign subsidiary for the group audit.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Transfer Pricing Documentation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Country-specific documentation supporting the arm's length nature of intercompany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Permanent Establishment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fixed place of business in a foreign country that triggers local tax obligations.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Local Director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individual serving on the board of a foreign subsidiary, often required to be a resident of the country.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Return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annual corporate filing with the local companies registry confirming entity details (directors, address, share capital).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Withholding 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Tax withheld at source on payments to non-residents (dividends, interest, royalties, service fees).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Statutory Reporting</w:t>
      </w:r>
    </w:p>
    <w:p>
      <w:pPr>
        <w:spacing w:after="150" w:before="0"/>
        <w:jc w:val="both"/>
      </w:pPr>
      <w:r>
        <w:rPr>
          <w:rFonts w:ascii="Calibri" w:cs="Calibri" w:eastAsia="Calibri" w:hAnsi="Calibri"/>
          <w:color w:val="333333"/>
          <w:sz w:val="22"/>
          <w:szCs w:val="22"/>
        </w:rPr>
        <w:t xml:space="preserve">Each foreign subsidiary shall prepare statutory financial statements in compliance with local GAAP and file them with the relevant authorities within the locally mandated deadline. Statutory financial statements shall be: prepared by the local finance team or an outsourced local accounting firm, reviewed by the subsidiary controller and the corporate Controller for consistency with the US GAAP reporting package, audited by a locally qualified auditor (where required by law), and filed before the statutory deadline with no extensions unless permitted by local law.</w:t>
      </w:r>
    </w:p>
    <w:p>
      <w:pPr>
        <w:pStyle w:val="Heading2"/>
        <w:spacing w:after="150" w:before="300"/>
      </w:pPr>
      <w:r>
        <w:rPr>
          <w:rFonts w:ascii="Georgia" w:cs="Georgia" w:eastAsia="Georgia" w:hAnsi="Georgia"/>
          <w:b/>
          <w:bCs/>
          <w:color w:val="333333"/>
          <w:sz w:val="26"/>
          <w:szCs w:val="26"/>
        </w:rPr>
        <w:t xml:space="preserve">3.2 US GAAP Alignment</w:t>
      </w:r>
    </w:p>
    <w:p>
      <w:pPr>
        <w:spacing w:after="150" w:before="0"/>
        <w:jc w:val="both"/>
      </w:pPr>
      <w:r>
        <w:rPr>
          <w:rFonts w:ascii="Calibri" w:cs="Calibri" w:eastAsia="Calibri" w:hAnsi="Calibri"/>
          <w:color w:val="333333"/>
          <w:sz w:val="22"/>
          <w:szCs w:val="22"/>
        </w:rPr>
        <w:t xml:space="preserve">Each foreign subsidiary shall prepare a monthly US GAAP reporting package for consolidation AND comply with local GAAP statutory requirements. Key differences between local GAAP and US GAAP shall be: documented in a GAAP-to-GAAP reconciliation for each subsidiary, adjusted at the consolidation level (not in the subsidiary's local books unless dual reporting is maintained), and communicated to the group auditor and the component auditor.</w:t>
      </w:r>
    </w:p>
    <w:p>
      <w:pPr>
        <w:pStyle w:val="Heading2"/>
        <w:spacing w:after="150" w:before="300"/>
      </w:pPr>
      <w:r>
        <w:rPr>
          <w:rFonts w:ascii="Georgia" w:cs="Georgia" w:eastAsia="Georgia" w:hAnsi="Georgia"/>
          <w:b/>
          <w:bCs/>
          <w:color w:val="333333"/>
          <w:sz w:val="26"/>
          <w:szCs w:val="26"/>
        </w:rPr>
        <w:t xml:space="preserve">3.3 Local Tax Compliance</w:t>
      </w:r>
    </w:p>
    <w:p>
      <w:pPr>
        <w:spacing w:after="150" w:before="0"/>
        <w:jc w:val="both"/>
      </w:pPr>
      <w:r>
        <w:rPr>
          <w:rFonts w:ascii="Calibri" w:cs="Calibri" w:eastAsia="Calibri" w:hAnsi="Calibri"/>
          <w:color w:val="333333"/>
          <w:sz w:val="22"/>
          <w:szCs w:val="22"/>
        </w:rPr>
        <w:t xml:space="preserve">Each foreign subsidiary shall comply with all local tax obligations including: corporate income tax registration, filing, and payment, VAT/GST registration and periodic filing, payroll tax and social security contributions, withholding tax on payments to non-residents, and transfer pricing documentation per local requirements. The Tax Director shall oversee local tax compliance with support from local tax advisors.</w:t>
      </w:r>
    </w:p>
    <w:p>
      <w:pPr>
        <w:pStyle w:val="Heading2"/>
        <w:spacing w:after="150" w:before="300"/>
      </w:pPr>
      <w:r>
        <w:rPr>
          <w:rFonts w:ascii="Georgia" w:cs="Georgia" w:eastAsia="Georgia" w:hAnsi="Georgia"/>
          <w:b/>
          <w:bCs/>
          <w:color w:val="333333"/>
          <w:sz w:val="26"/>
          <w:szCs w:val="26"/>
        </w:rPr>
        <w:t xml:space="preserve">3.4 Corporate Governance</w:t>
      </w:r>
    </w:p>
    <w:p>
      <w:pPr>
        <w:spacing w:after="150" w:before="0"/>
        <w:jc w:val="both"/>
      </w:pPr>
      <w:r>
        <w:rPr>
          <w:rFonts w:ascii="Calibri" w:cs="Calibri" w:eastAsia="Calibri" w:hAnsi="Calibri"/>
          <w:color w:val="333333"/>
          <w:sz w:val="22"/>
          <w:szCs w:val="22"/>
        </w:rPr>
        <w:t xml:space="preserve">Each foreign subsidiary shall maintain local corporate governance compliance including: local directors as required by law (with proper D&amp;O insurance coverage), registered office in the country of incorporation, annual general meetings (or written resolutions) per local law, maintenance of statutory registers (directors, shareholders, charges), and annual returns and other periodic filings with the companies registry.</w:t>
      </w:r>
    </w:p>
    <w:p>
      <w:pPr>
        <w:pStyle w:val="Heading2"/>
        <w:spacing w:after="150" w:before="300"/>
      </w:pPr>
      <w:r>
        <w:rPr>
          <w:rFonts w:ascii="Georgia" w:cs="Georgia" w:eastAsia="Georgia" w:hAnsi="Georgia"/>
          <w:b/>
          <w:bCs/>
          <w:color w:val="333333"/>
          <w:sz w:val="26"/>
          <w:szCs w:val="26"/>
        </w:rPr>
        <w:t xml:space="preserve">3.5 Local Advisors</w:t>
      </w:r>
    </w:p>
    <w:p>
      <w:pPr>
        <w:spacing w:after="150" w:before="0"/>
        <w:jc w:val="both"/>
      </w:pPr>
      <w:r>
        <w:rPr>
          <w:rFonts w:ascii="Calibri" w:cs="Calibri" w:eastAsia="Calibri" w:hAnsi="Calibri"/>
          <w:color w:val="333333"/>
          <w:sz w:val="22"/>
          <w:szCs w:val="22"/>
        </w:rPr>
        <w:t xml:space="preserve">[Company Name] shall engage qualified local advisors (accounting firms, law firms, tax advisors) in each country to support statutory compliance. Local advisor selection shall be coordinated by the General Counsel and Tax Director to ensure quality and cost-effectiveness. The group audit firm's local network should be considered for statutory audits to facilitate coordination.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global statutory compliance. Approves the local advisor budget. Reviews compliance status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US GAAP and local GAAP reporting. Reviews GAAP-to-GAAP reconciliations. Manages the group audit relationship with component auditors.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local tax compliance. Coordinates transfer pricing documentation. Manages withholding tax obligations.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local corporate governance. Appoints and maintains local directors. Oversees entity-level legal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Subsidiary Controller / Local Finance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statutory financial statements and US GAAP reporting packages. Manages local auditor relationships. Files local tax returns.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Corporate Secretary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Tracks statutory filing deadlines. Maintains the compliance calendar. Coordinates annual return filings.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Local Advisors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 or review statutory financials. Perform statutory audits. File local tax returns. Advise on regulatory changes.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Group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with component auditors. Issues group audit instructions. Reviews component auditor work.</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Statutory Compliance Calendar</w:t>
      </w:r>
    </w:p>
    <w:p>
      <w:pPr>
        <w:spacing w:after="150" w:before="0"/>
        <w:jc w:val="both"/>
      </w:pPr>
      <w:r>
        <w:rPr>
          <w:rFonts w:ascii="Calibri" w:cs="Calibri" w:eastAsia="Calibri" w:hAnsi="Calibri"/>
          <w:color w:val="333333"/>
          <w:sz w:val="22"/>
          <w:szCs w:val="22"/>
        </w:rPr>
        <w:t xml:space="preserve">The Corporate Secretary shall maintain a global statutory compliance calendar listing: every filing requirement for every foreign entity, the filing deadline, the responsible individual (local finance or local advisor), and the current status (on track, at risk, overdue). The calendar shall be reviewed monthly and filed items confirmed within [5] business days of submission.</w:t>
      </w:r>
    </w:p>
    <w:p>
      <w:pPr>
        <w:pStyle w:val="Heading2"/>
        <w:spacing w:after="150" w:before="300"/>
      </w:pPr>
      <w:r>
        <w:rPr>
          <w:rFonts w:ascii="Georgia" w:cs="Georgia" w:eastAsia="Georgia" w:hAnsi="Georgia"/>
          <w:b/>
          <w:bCs/>
          <w:color w:val="333333"/>
          <w:sz w:val="26"/>
          <w:szCs w:val="26"/>
        </w:rPr>
        <w:t xml:space="preserve">5.2 Statutory Financial Statement Preparation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Local finance prepares the statutory trial balance in local GAAP</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GAAP-to-GAAP adjustments are identified and documented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Statutory financial statements are prepared per local format requirements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Director's report and other required accompanying documents are prepared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Subsidiary controller reviews for accuracy and completeness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Corporate Controller reviews for consistency with the US GAAP reporting package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Local auditor performs the statutory audit</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Financial statements are approved by the local board of directors</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Filed with the local authority before the deadline</w:t>
      </w:r>
    </w:p>
    <w:p>
      <w:pPr>
        <w:pStyle w:val="Heading2"/>
        <w:spacing w:after="150" w:before="300"/>
      </w:pPr>
      <w:r>
        <w:rPr>
          <w:rFonts w:ascii="Georgia" w:cs="Georgia" w:eastAsia="Georgia" w:hAnsi="Georgia"/>
          <w:b/>
          <w:bCs/>
          <w:color w:val="333333"/>
          <w:sz w:val="26"/>
          <w:szCs w:val="26"/>
        </w:rPr>
        <w:t xml:space="preserve">5.3 Statutory Audit Coordination</w:t>
      </w:r>
    </w:p>
    <w:p>
      <w:pPr>
        <w:spacing w:after="150" w:before="0"/>
        <w:jc w:val="both"/>
      </w:pPr>
      <w:r>
        <w:rPr>
          <w:rFonts w:ascii="Calibri" w:cs="Calibri" w:eastAsia="Calibri" w:hAnsi="Calibri"/>
          <w:color w:val="333333"/>
          <w:sz w:val="22"/>
          <w:szCs w:val="22"/>
        </w:rPr>
        <w:t xml:space="preserve">To maximize efficiency, statutory audits shall be coordinated with the group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Group auditor issues audit instructions to component auditors covering both group and statutory scope where possible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Statutory audit fieldwork is scheduled to align with the group audit timeline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Component auditor findings are communicated to both the group auditor and the subsidiary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Material statutory audit adjustments are evaluated for US GAAP impact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Statutory audit reports are obtained before the statutory filing deadline</w:t>
      </w:r>
    </w:p>
    <w:p>
      <w:pPr>
        <w:pStyle w:val="Heading2"/>
        <w:spacing w:after="150" w:before="300"/>
      </w:pPr>
      <w:r>
        <w:rPr>
          <w:rFonts w:ascii="Georgia" w:cs="Georgia" w:eastAsia="Georgia" w:hAnsi="Georgia"/>
          <w:b/>
          <w:bCs/>
          <w:color w:val="333333"/>
          <w:sz w:val="26"/>
          <w:szCs w:val="26"/>
        </w:rPr>
        <w:t xml:space="preserve">5.4 Local Tax Compliance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Tax Director identifies all local tax obligations for each entity (income tax, VAT, payroll, withholding)</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Local tax advisor prepares tax returns per local requirements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Subsidiary controller reviews and approves before filing</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Tax payments are processed by the local finance team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Filing confirmations are retained and reported to the Tax Director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Transfer pricing documentation is prepared per local country requirements</w:t>
      </w:r>
    </w:p>
    <w:p>
      <w:pPr>
        <w:pStyle w:val="Heading2"/>
        <w:spacing w:after="150" w:before="300"/>
      </w:pPr>
      <w:r>
        <w:rPr>
          <w:rFonts w:ascii="Georgia" w:cs="Georgia" w:eastAsia="Georgia" w:hAnsi="Georgia"/>
          <w:b/>
          <w:bCs/>
          <w:color w:val="333333"/>
          <w:sz w:val="26"/>
          <w:szCs w:val="26"/>
        </w:rPr>
        <w:t xml:space="preserve">5.5 Regulatory Change Monitoring</w:t>
      </w:r>
    </w:p>
    <w:p>
      <w:pPr>
        <w:spacing w:after="150" w:before="0"/>
        <w:jc w:val="both"/>
      </w:pPr>
      <w:r>
        <w:rPr>
          <w:rFonts w:ascii="Calibri" w:cs="Calibri" w:eastAsia="Calibri" w:hAnsi="Calibri"/>
          <w:color w:val="333333"/>
          <w:sz w:val="22"/>
          <w:szCs w:val="22"/>
        </w:rPr>
        <w:t xml:space="preserve">Local advisors shall notify [Company Name] of regulatory changes affecting: accounting standards (new local GAAP requirements), tax law (rate changes, new obligations, treaty changes), corporate law (governance requirements, filing obligations), employment law (payroll, benefits, termination requirements), and data protection (privacy law changes affecting finance data). Notifications shall be provided with sufficient lead time for [Company Name] to implement changes before the effective date.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Statutory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Local advisor engagement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Statutory financial statement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entities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Local board of directors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GAAP-to-GAAP reconciliation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entities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Corporate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Local tax return filing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(via local advisor)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Local director appointment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country entry (entity formation)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General Counsel + Tax Director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Country exit (entity dissolution)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General Counsel + Tax Director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Missed statutory filing deadlines shall be escalated to the CFO immediately with a remediation plan. Penalties for late filings shall be accrued and reported to the Audit Committee. Disagreements between local GAAP and US GAAP treatment for the same transaction shall be escalated to the Corporate Controller for resolution. Material local audit findings not identified in the group audit shall be investigated and reported to the group auditor.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compliance calendar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statutory compliance status report to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statutory audit completion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entity-by-entity compliance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local advisor performance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Statutory filings made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Statutory audits completed by deadline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Local tax returns filed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GAAP-to-GAAP reconciliation completed monthly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Penalties for late statutory filings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Local advisor satisfaction rating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Reviewed annually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Consolidation &amp; Elimination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Entity Management &amp; Governance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IFRS Standards (where applicable locally)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Country Compliance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Country</w:t>
            </w:r>
          </w:p>
        </w:tc>
        <w:tc>
          <w:tcPr>
            <w:tcW w:type="dxa" w:w="2400"/>
            <w:shd w:fill="0C0C0C" w:val="clear"/>
          </w:tcPr>
          <w:p>
            <w:pPr>
              <w:spacing w:after="60" w:before="60"/>
            </w:pPr>
            <w:r>
              <w:rPr>
                <w:rFonts w:ascii="Calibri" w:cs="Calibri" w:eastAsia="Calibri" w:hAnsi="Calibri"/>
                <w:b/>
                <w:bCs/>
                <w:color w:val="D4AF37"/>
                <w:sz w:val="20"/>
                <w:szCs w:val="20"/>
              </w:rPr>
              <w:t xml:space="preserve">Entity</w:t>
            </w:r>
          </w:p>
        </w:tc>
        <w:tc>
          <w:tcPr>
            <w:tcW w:type="dxa" w:w="4560"/>
            <w:shd w:fill="0C0C0C" w:val="clear"/>
          </w:tcPr>
          <w:p>
            <w:pPr>
              <w:spacing w:after="60" w:before="60"/>
            </w:pPr>
            <w:r>
              <w:rPr>
                <w:rFonts w:ascii="Calibri" w:cs="Calibri" w:eastAsia="Calibri" w:hAnsi="Calibri"/>
                <w:b/>
                <w:bCs/>
                <w:color w:val="D4AF37"/>
                <w:sz w:val="20"/>
                <w:szCs w:val="20"/>
              </w:rPr>
              <w:t xml:space="preserve">Statutory FS Deadline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UK</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[Entity]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9 months post FYE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Germany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[Entity]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12 months post FYE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Japan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[Entity]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3 months post FYE</w:t>
            </w:r>
          </w:p>
        </w:tc>
      </w:tr>
    </w:tbl>
    <w:p>
      <w:pPr>
        <w:pStyle w:val="Heading2"/>
        <w:spacing w:after="150" w:before="300"/>
      </w:pPr>
      <w:r>
        <w:rPr>
          <w:rFonts w:ascii="Georgia" w:cs="Georgia" w:eastAsia="Georgia" w:hAnsi="Georgia"/>
          <w:b/>
          <w:bCs/>
          <w:color w:val="333333"/>
          <w:sz w:val="26"/>
          <w:szCs w:val="26"/>
        </w:rPr>
        <w:t xml:space="preserve">Appendix B — GAAP-to-GAAP Reconciliation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Item</w:t>
            </w:r>
          </w:p>
        </w:tc>
        <w:tc>
          <w:tcPr>
            <w:tcW w:type="dxa" w:w="6160"/>
            <w:shd w:fill="0C0C0C" w:val="clear"/>
          </w:tcPr>
          <w:p>
            <w:pPr>
              <w:spacing w:after="60" w:before="60"/>
            </w:pPr>
            <w:r>
              <w:rPr>
                <w:rFonts w:ascii="Calibri" w:cs="Calibri" w:eastAsia="Calibri" w:hAnsi="Calibri"/>
                <w:b/>
                <w:bCs/>
                <w:color w:val="D4AF37"/>
                <w:sz w:val="20"/>
                <w:szCs w:val="20"/>
              </w:rPr>
              <w:t xml:space="preserve">Local GAAP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Pensions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Foreign Subsidiary Statutory Compliance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2026-07-13T17:05:22.197Z</dcterms:created>
  <dcterms:modified xsi:type="dcterms:W3CDTF">2026-07-13T17:05:22.197Z</dcterms:modified>
</cp:coreProperties>
</file>

<file path=docProps/custom.xml><?xml version="1.0" encoding="utf-8"?>
<Properties xmlns="http://schemas.openxmlformats.org/officeDocument/2006/custom-properties" xmlns:vt="http://schemas.openxmlformats.org/officeDocument/2006/docPropsVTypes"/>
</file>