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Legal Entity Management &amp; Governance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Legal Entity Management and Governance Policy establishes the standards, procedures, and controls for the formation, maintenance, governance, and dissolution of legal entities within [Company Name]'s corporate structure. The policy ensures that all entities are properly formed, maintained in good standing, and governed in compliance with applicable laws and regulations.</w:t>
      </w:r>
    </w:p>
    <w:p>
      <w:pPr>
        <w:spacing w:after="150" w:before="0"/>
        <w:jc w:val="both"/>
      </w:pPr>
      <w:r>
        <w:rPr>
          <w:rFonts w:ascii="Calibri" w:cs="Calibri" w:eastAsia="Calibri" w:hAnsi="Calibri"/>
          <w:color w:val="333333"/>
          <w:sz w:val="22"/>
          <w:szCs w:val="22"/>
        </w:rPr>
        <w:t xml:space="preserve">This policy applies to all legal entities in the corporate structure including: the parent company, domestic subsidiaries (corporations, LLCs, partnerships), foreign subsidiaries and branches, special purpose entities and variable interest entities, joint ventures and partnership interests, and dormant or inactive entities.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good standing for all active legal entities in their jurisdictions of formation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corporate governance (minutes, resolutions, annual filings) for all entities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Rationalize the entity structure by identifying and dissolving unnecessary entities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registered agent and statutory filing requirements in all jurisdictions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complete and accurate entity register accessible to Finance, Legal, and Tax</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entity formation and dissolution aligns with tax, legal, and business strategy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 Entity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corporation, LLC, partnership, branch, or other legally recognized structure formed under the laws of a jurisdiction.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Entity Register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comprehensive database of all legal entities in [Company Name]'s corporate structure.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Good Standing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status of a legal entity that has met all filing and fee requirements in its jurisdiction of formation.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Registered Agent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or service designated to receive legal and government documents on behalf of the entity in a jurisdiction.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Report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periodic filing required by the jurisdiction of formation (and foreign qualification jurisdictions) to maintain good standing.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Foreign Qualification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registration of an entity to do business in a state or country other than its state of formation.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Articles of Incorporation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founding document filed with the state to create a corporation.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Operating Agreement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governing document of an LLC defining member rights, management, and operations.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Dormant Entity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entity with no business activity, assets, or liabilities that has not been formally dissolved.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Entity Rationalization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reviewing the entity structure to identify entities that can be merged, dissolved, or simplified.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Entity Formation</w:t>
      </w:r>
    </w:p>
    <w:p>
      <w:pPr>
        <w:spacing w:after="150" w:before="0"/>
        <w:jc w:val="both"/>
      </w:pPr>
      <w:r>
        <w:rPr>
          <w:rFonts w:ascii="Calibri" w:cs="Calibri" w:eastAsia="Calibri" w:hAnsi="Calibri"/>
          <w:color w:val="333333"/>
          <w:sz w:val="22"/>
          <w:szCs w:val="22"/>
        </w:rPr>
        <w:t xml:space="preserve">New legal entities shall be formed only when there is a documented business, tax, or legal rationale. The General Counsel shall approve all entity formations. The formation request shall include: the business purpose for the new entity, the proposed entity type (corporation, LLC, partnership, branch), the jurisdiction of formation (and any foreign qualification needs), the proposed name, the proposed officers/directors/managers, the proposed ownership structure, and the tax classification (pass-through, C-corp, disregarded).</w:t>
      </w:r>
    </w:p>
    <w:p>
      <w:pPr>
        <w:pStyle w:val="Heading2"/>
        <w:spacing w:after="150" w:before="300"/>
      </w:pPr>
      <w:r>
        <w:rPr>
          <w:rFonts w:ascii="Georgia" w:cs="Georgia" w:eastAsia="Georgia" w:hAnsi="Georgia"/>
          <w:b/>
          <w:bCs/>
          <w:color w:val="333333"/>
          <w:sz w:val="26"/>
          <w:szCs w:val="26"/>
        </w:rPr>
        <w:t xml:space="preserve">3.2 Entity Maintenance</w:t>
      </w:r>
    </w:p>
    <w:p>
      <w:pPr>
        <w:spacing w:after="150" w:before="0"/>
        <w:jc w:val="both"/>
      </w:pPr>
      <w:r>
        <w:rPr>
          <w:rFonts w:ascii="Calibri" w:cs="Calibri" w:eastAsia="Calibri" w:hAnsi="Calibri"/>
          <w:color w:val="333333"/>
          <w:sz w:val="22"/>
          <w:szCs w:val="22"/>
        </w:rPr>
        <w:t xml:space="preserve">All active entities shall be maintained in good standing through: annual report filings in the jurisdiction of formation and all foreign qualification states, registered agent service in all required jurisdictions, annual corporate governance actions (annual meetings or written consents), maintenance of corporate minutes and resolutions, payment of franchise taxes and filing fees, and business license renewals where required.</w:t>
      </w:r>
    </w:p>
    <w:p>
      <w:pPr>
        <w:pStyle w:val="Heading2"/>
        <w:spacing w:after="150" w:before="300"/>
      </w:pPr>
      <w:r>
        <w:rPr>
          <w:rFonts w:ascii="Georgia" w:cs="Georgia" w:eastAsia="Georgia" w:hAnsi="Georgia"/>
          <w:b/>
          <w:bCs/>
          <w:color w:val="333333"/>
          <w:sz w:val="26"/>
          <w:szCs w:val="26"/>
        </w:rPr>
        <w:t xml:space="preserve">3.3 Entity Register</w:t>
      </w:r>
    </w:p>
    <w:p>
      <w:pPr>
        <w:spacing w:after="150" w:before="0"/>
        <w:jc w:val="both"/>
      </w:pPr>
      <w:r>
        <w:rPr>
          <w:rFonts w:ascii="Calibri" w:cs="Calibri" w:eastAsia="Calibri" w:hAnsi="Calibri"/>
          <w:color w:val="333333"/>
          <w:sz w:val="22"/>
          <w:szCs w:val="22"/>
        </w:rPr>
        <w:t xml:space="preserve">The General Counsel shall maintain a comprehensive entity register containing: entity legal name and any trade names, jurisdiction of formation and formation date, entity type and tax classification, EIN and other tax identification numbers, ownership structure (parent entity and ownership percentage), officers, directors, managers, and authorized signers, registered agent in each jurisdiction, foreign qualification jurisdictions, good standing status, and dormant/active status.</w:t>
      </w:r>
    </w:p>
    <w:p>
      <w:pPr>
        <w:pStyle w:val="Heading2"/>
        <w:spacing w:after="150" w:before="300"/>
      </w:pPr>
      <w:r>
        <w:rPr>
          <w:rFonts w:ascii="Georgia" w:cs="Georgia" w:eastAsia="Georgia" w:hAnsi="Georgia"/>
          <w:b/>
          <w:bCs/>
          <w:color w:val="333333"/>
          <w:sz w:val="26"/>
          <w:szCs w:val="26"/>
        </w:rPr>
        <w:t xml:space="preserve">3.4 Entity Rationalization</w:t>
      </w:r>
    </w:p>
    <w:p>
      <w:pPr>
        <w:spacing w:after="150" w:before="0"/>
        <w:jc w:val="both"/>
      </w:pPr>
      <w:r>
        <w:rPr>
          <w:rFonts w:ascii="Calibri" w:cs="Calibri" w:eastAsia="Calibri" w:hAnsi="Calibri"/>
          <w:color w:val="333333"/>
          <w:sz w:val="22"/>
          <w:szCs w:val="22"/>
        </w:rPr>
        <w:t xml:space="preserve">[Company Name] shall conduct an entity rationalization review at least [annually] to identify: dormant entities with no business purpose (candidates for dissolution), entities that can be merged to simplify the structure, entities where foreign qualifications are no longer needed, and entities where the tax classification should be changed. Entity simplification reduces administrative costs, reduces audit complexity, and reduces the risk of missed filings.</w:t>
      </w:r>
    </w:p>
    <w:p>
      <w:pPr>
        <w:pStyle w:val="Heading2"/>
        <w:spacing w:after="150" w:before="300"/>
      </w:pPr>
      <w:r>
        <w:rPr>
          <w:rFonts w:ascii="Georgia" w:cs="Georgia" w:eastAsia="Georgia" w:hAnsi="Georgia"/>
          <w:b/>
          <w:bCs/>
          <w:color w:val="333333"/>
          <w:sz w:val="26"/>
          <w:szCs w:val="26"/>
        </w:rPr>
        <w:t xml:space="preserve">3.5 Dissolution</w:t>
      </w:r>
    </w:p>
    <w:p>
      <w:pPr>
        <w:spacing w:after="150" w:before="0"/>
        <w:jc w:val="both"/>
      </w:pPr>
      <w:r>
        <w:rPr>
          <w:rFonts w:ascii="Calibri" w:cs="Calibri" w:eastAsia="Calibri" w:hAnsi="Calibri"/>
          <w:color w:val="333333"/>
          <w:sz w:val="22"/>
          <w:szCs w:val="22"/>
        </w:rPr>
        <w:t xml:space="preserve">Entities approved for dissolution shall follow a controlled dissolution process: verify the entity has no remaining assets, liabilities, contracts, or tax obligations, file articles of dissolution in the jurisdiction of formation, withdraw foreign qualifications in all states, cancel the EIN with the IRS (or maintain for final return filing), file final tax returns (federal, state, local, foreign), and update the entity register.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entity register. Approves entity formations and dissolutions. Manages corporate governance compliance. Oversees registered agent service.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Corporate Secretary / Paralegal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the entity register. Prepares annual filings. Drafts resolutions and minutes. Tracks filing deadlines.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entity formations from a financial perspective. Reviews the entity structure for efficiency.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each entity is properly reflected in the consolidation. Coordinates intercompany accounting for new entities.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tax classification for new entities. Ensures tax registrations and filings are completed. Manages transfer pricing for intercompany entities.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Opens and manages bank accounts for new entities. Coordinates cash management across entities.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Corporate Service Provider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Serves as registered agent. Files annual reports. Provides compliance calendar management.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Entity Formation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Business unit or functional leader submits an entity formation request to the General Counsel</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General Counsel evaluates the rationale and proposes the structure (entity type, jurisdiction, tax classification)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Tax Director reviews the proposed structure for tax implications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CFO approves the formation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General Counsel (or outside counsel) files the formation documents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Corporate Secretary sets up the entity in the register</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Tax obtains the EIN and files any required tax elections</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Controller adds the entity to the consolidation system</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Treasury opens bank accounts as needed</w:t>
      </w:r>
    </w:p>
    <w:p>
      <w:pPr>
        <w:spacing w:after="80"/>
        <w:ind w:left="720"/>
      </w:pPr>
      <w:r>
        <w:rPr>
          <w:rFonts w:ascii="Calibri" w:cs="Calibri" w:eastAsia="Calibri" w:hAnsi="Calibri"/>
          <w:b/>
          <w:bCs/>
          <w:color w:val="D4AF37"/>
          <w:sz w:val="22"/>
          <w:szCs w:val="22"/>
        </w:rPr>
        <w:t xml:space="preserve">10.  </w:t>
      </w:r>
      <w:r>
        <w:rPr>
          <w:rFonts w:ascii="Calibri" w:cs="Calibri" w:eastAsia="Calibri" w:hAnsi="Calibri"/>
          <w:color w:val="333333"/>
          <w:sz w:val="22"/>
          <w:szCs w:val="22"/>
        </w:rPr>
        <w:t xml:space="preserve">Foreign qualification filings are made in jurisdictions where the entity will conduct business</w:t>
      </w:r>
    </w:p>
    <w:p>
      <w:pPr>
        <w:pStyle w:val="Heading2"/>
        <w:spacing w:after="150" w:before="300"/>
      </w:pPr>
      <w:r>
        <w:rPr>
          <w:rFonts w:ascii="Georgia" w:cs="Georgia" w:eastAsia="Georgia" w:hAnsi="Georgia"/>
          <w:b/>
          <w:bCs/>
          <w:color w:val="333333"/>
          <w:sz w:val="26"/>
          <w:szCs w:val="26"/>
        </w:rPr>
        <w:t xml:space="preserve">5.2 Annual Compliance Calendar</w:t>
      </w:r>
    </w:p>
    <w:p>
      <w:pPr>
        <w:spacing w:after="150" w:before="0"/>
        <w:jc w:val="both"/>
      </w:pPr>
      <w:r>
        <w:rPr>
          <w:rFonts w:ascii="Calibri" w:cs="Calibri" w:eastAsia="Calibri" w:hAnsi="Calibri"/>
          <w:color w:val="333333"/>
          <w:sz w:val="22"/>
          <w:szCs w:val="22"/>
        </w:rPr>
        <w:t xml:space="preserve">The Corporate Secretary shall maintain a compliance calendar listing every filing requirement for every 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Filing Type</w:t>
            </w:r>
          </w:p>
        </w:tc>
        <w:tc>
          <w:tcPr>
            <w:tcW w:type="dxa" w:w="6160"/>
            <w:shd w:fill="0C0C0C" w:val="clear"/>
          </w:tcPr>
          <w:p>
            <w:pPr>
              <w:spacing w:after="60" w:before="60"/>
            </w:pPr>
            <w:r>
              <w:rPr>
                <w:rFonts w:ascii="Calibri" w:cs="Calibri" w:eastAsia="Calibri" w:hAnsi="Calibri"/>
                <w:b/>
                <w:bCs/>
                <w:color w:val="D4AF37"/>
                <w:sz w:val="20"/>
                <w:szCs w:val="20"/>
              </w:rPr>
              <w:t xml:space="preserve">Typical Frequency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report (state of formation)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Foreign qualification annual report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Annual (per state)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Franchise tax payment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 or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Registered agent renewal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Annual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license renewal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 or biennial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Corporate minutes / written consent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Annual (minimum)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Federal tax return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State tax return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Annual (per state)</w:t>
            </w:r>
          </w:p>
        </w:tc>
      </w:tr>
    </w:tbl>
    <w:p>
      <w:pPr>
        <w:spacing w:after="150" w:before="0"/>
        <w:jc w:val="both"/>
      </w:pPr>
      <w:r>
        <w:rPr>
          <w:rFonts w:ascii="Calibri" w:cs="Calibri" w:eastAsia="Calibri" w:hAnsi="Calibri"/>
          <w:color w:val="333333"/>
          <w:sz w:val="22"/>
          <w:szCs w:val="22"/>
        </w:rPr>
        <w:t xml:space="preserve">Filing deadlines shall be tracked with [30]-day advance reminders. Overdue filings shall be escalated to the General Counsel immediately.</w:t>
      </w:r>
    </w:p>
    <w:p>
      <w:pPr>
        <w:pStyle w:val="Heading2"/>
        <w:spacing w:after="150" w:before="300"/>
      </w:pPr>
      <w:r>
        <w:rPr>
          <w:rFonts w:ascii="Georgia" w:cs="Georgia" w:eastAsia="Georgia" w:hAnsi="Georgia"/>
          <w:b/>
          <w:bCs/>
          <w:color w:val="333333"/>
          <w:sz w:val="26"/>
          <w:szCs w:val="26"/>
        </w:rPr>
        <w:t xml:space="preserve">5.3 Corporate Governance Actions</w:t>
      </w:r>
    </w:p>
    <w:p>
      <w:pPr>
        <w:pStyle w:val="Heading3"/>
        <w:spacing w:after="100" w:before="200"/>
      </w:pPr>
      <w:r>
        <w:rPr>
          <w:rFonts w:ascii="Georgia" w:cs="Georgia" w:eastAsia="Georgia" w:hAnsi="Georgia"/>
          <w:b/>
          <w:bCs/>
          <w:color w:val="444444"/>
          <w:sz w:val="22"/>
          <w:szCs w:val="22"/>
        </w:rPr>
        <w:t xml:space="preserve">5.3.1 Board and Member Actions</w:t>
      </w:r>
    </w:p>
    <w:p>
      <w:pPr>
        <w:spacing w:after="150" w:before="0"/>
        <w:jc w:val="both"/>
      </w:pPr>
      <w:r>
        <w:rPr>
          <w:rFonts w:ascii="Calibri" w:cs="Calibri" w:eastAsia="Calibri" w:hAnsi="Calibri"/>
          <w:color w:val="333333"/>
          <w:sz w:val="22"/>
          <w:szCs w:val="22"/>
        </w:rPr>
        <w:t xml:space="preserve">Each entity shall hold annual governance actions (board meetings or written consents) to: approve the prior year's financial activity, elect officers/directors/managers, ratify significant transactions, and authorize the next year's operations. Minutes or written consents shall be maintained in the corporate minute books (physical or electronic).</w:t>
      </w:r>
    </w:p>
    <w:p>
      <w:pPr>
        <w:pStyle w:val="Heading3"/>
        <w:spacing w:after="100" w:before="200"/>
      </w:pPr>
      <w:r>
        <w:rPr>
          <w:rFonts w:ascii="Georgia" w:cs="Georgia" w:eastAsia="Georgia" w:hAnsi="Georgia"/>
          <w:b/>
          <w:bCs/>
          <w:color w:val="444444"/>
          <w:sz w:val="22"/>
          <w:szCs w:val="22"/>
        </w:rPr>
        <w:t xml:space="preserve">5.3.2 Intercompany Agreements</w:t>
      </w:r>
    </w:p>
    <w:p>
      <w:pPr>
        <w:spacing w:after="150" w:before="0"/>
        <w:jc w:val="both"/>
      </w:pPr>
      <w:r>
        <w:rPr>
          <w:rFonts w:ascii="Calibri" w:cs="Calibri" w:eastAsia="Calibri" w:hAnsi="Calibri"/>
          <w:color w:val="333333"/>
          <w:sz w:val="22"/>
          <w:szCs w:val="22"/>
        </w:rPr>
        <w:t xml:space="preserve">Transactions between entities shall be documented with formal intercompany agreements (per the Transfer Pricing Policy). Entity-level board or member approval may be required for significant intercompany transactions.</w:t>
      </w:r>
    </w:p>
    <w:p>
      <w:pPr>
        <w:pStyle w:val="Heading2"/>
        <w:spacing w:after="150" w:before="300"/>
      </w:pPr>
      <w:r>
        <w:rPr>
          <w:rFonts w:ascii="Georgia" w:cs="Georgia" w:eastAsia="Georgia" w:hAnsi="Georgia"/>
          <w:b/>
          <w:bCs/>
          <w:color w:val="333333"/>
          <w:sz w:val="26"/>
          <w:szCs w:val="26"/>
        </w:rPr>
        <w:t xml:space="preserve">5.4 Entity Dissolution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General Counsel identifies the entity as a dissolution candidate (through rationalization review or business request)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Controller confirms no remaining assets, liabilities, or open audit periods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Tax confirms all final tax returns have been filed or will be filed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Legal confirms no pending litigation or contractual obligations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CFO approves the dissolution</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Legal files articles of dissolution and foreign qualification withdrawals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Tax cancels the EIN and files final returns</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Treasury closes bank accounts</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Controller removes the entity from the consolidation</w:t>
      </w:r>
    </w:p>
    <w:p>
      <w:pPr>
        <w:spacing w:after="80"/>
        <w:ind w:left="720"/>
      </w:pPr>
      <w:r>
        <w:rPr>
          <w:rFonts w:ascii="Calibri" w:cs="Calibri" w:eastAsia="Calibri" w:hAnsi="Calibri"/>
          <w:b/>
          <w:bCs/>
          <w:color w:val="D4AF37"/>
          <w:sz w:val="22"/>
          <w:szCs w:val="22"/>
        </w:rPr>
        <w:t xml:space="preserve">10.  </w:t>
      </w:r>
      <w:r>
        <w:rPr>
          <w:rFonts w:ascii="Calibri" w:cs="Calibri" w:eastAsia="Calibri" w:hAnsi="Calibri"/>
          <w:color w:val="333333"/>
          <w:sz w:val="22"/>
          <w:szCs w:val="22"/>
        </w:rPr>
        <w:t xml:space="preserve">Corporate Secretary updates the entity register to reflect dissolved status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Entity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entity formation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Entity tax classification election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Foreign qualification (new state)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Entity dissolution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Entity name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Officer/director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 + entity board/member action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Entity merger (simplification)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 + CFO + Tax</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Entity restructuring (material)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notification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Entities that fall out of good standing shall be restored within [30] days. The General Counsel shall be notified immediately when a good standing lapse is discovered. If restoration is not possible within [30] days (penalties, missing filings), the matter shall be escalated to the CFO. Entities formed for M&amp;A transactions may follow an expedited formation process with General Counsel and CFO verbal approval, documented within [48] hours.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compliance calendar review (upcoming deadlines)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good standing verification for all active entities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entity rationalization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corporate governance action completion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entity register accuracy audit</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Entities in good standing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filings made on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Entity register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governance actions completed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Entity rationalization review completed annually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Yes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Dormant entities dissolved within [12] months of identification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Consolidation &amp; Elimination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M&amp;A &amp; Corporate Development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State corporate law (varies by jurisdiction)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IRS entity classification regulations (check-the-box)</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Entity Register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Entity Name</w:t>
            </w:r>
          </w:p>
        </w:tc>
        <w:tc>
          <w:tcPr>
            <w:tcW w:type="dxa" w:w="2400"/>
            <w:shd w:fill="0C0C0C" w:val="clear"/>
          </w:tcPr>
          <w:p>
            <w:pPr>
              <w:spacing w:after="60" w:before="60"/>
            </w:pPr>
            <w:r>
              <w:rPr>
                <w:rFonts w:ascii="Calibri" w:cs="Calibri" w:eastAsia="Calibri" w:hAnsi="Calibri"/>
                <w:b/>
                <w:bCs/>
                <w:color w:val="D4AF37"/>
                <w:sz w:val="20"/>
                <w:szCs w:val="20"/>
              </w:rPr>
              <w:t xml:space="preserve">Jurisdiction</w:t>
            </w:r>
          </w:p>
        </w:tc>
        <w:tc>
          <w:tcPr>
            <w:tcW w:type="dxa" w:w="4560"/>
            <w:shd w:fill="0C0C0C" w:val="clear"/>
          </w:tcPr>
          <w:p>
            <w:pPr>
              <w:spacing w:after="60" w:before="60"/>
            </w:pPr>
            <w:r>
              <w:rPr>
                <w:rFonts w:ascii="Calibri" w:cs="Calibri" w:eastAsia="Calibri" w:hAnsi="Calibri"/>
                <w:b/>
                <w:bCs/>
                <w:color w:val="D4AF37"/>
                <w:sz w:val="20"/>
                <w:szCs w:val="20"/>
              </w:rPr>
              <w:t xml:space="preserve">Type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[Company Name]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Delaware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Corporation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[Sub 1]</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Delaware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LLC</w:t>
            </w:r>
          </w:p>
        </w:tc>
      </w:tr>
    </w:tbl>
    <w:p>
      <w:pPr>
        <w:pStyle w:val="Heading2"/>
        <w:spacing w:after="150" w:before="300"/>
      </w:pPr>
      <w:r>
        <w:rPr>
          <w:rFonts w:ascii="Georgia" w:cs="Georgia" w:eastAsia="Georgia" w:hAnsi="Georgia"/>
          <w:b/>
          <w:bCs/>
          <w:color w:val="333333"/>
          <w:sz w:val="26"/>
          <w:szCs w:val="26"/>
        </w:rPr>
        <w:t xml:space="preserve">Appendix B — Entity Formation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Requestor and business rationale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Why is the entity needed?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Proposed entity name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Legal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Entity type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Corporation / LLC / LP / Branch</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Jurisdiction of formation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State or country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classification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C-Corp / S-Corp / Partnership / Disregarded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Ownership structure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Parent entity and ownership %</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Foreign qualification states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Where will the entity operate?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Officers/directors/managers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Proposed governance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General Counsel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Legal Entity Management &amp; Governance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2026-07-13T17:05:22.097Z</dcterms:created>
  <dcterms:modified xsi:type="dcterms:W3CDTF">2026-07-13T17:05:22.097Z</dcterms:modified>
</cp:coreProperties>
</file>

<file path=docProps/custom.xml><?xml version="1.0" encoding="utf-8"?>
<Properties xmlns="http://schemas.openxmlformats.org/officeDocument/2006/custom-properties" xmlns:vt="http://schemas.openxmlformats.org/officeDocument/2006/docPropsVTypes"/>
</file>