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Financial Guarantee, Letter of Credit &amp; Surety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Financial Guarantee, Letter of Credit and Surety Policy establishes the standards, procedures, and controls governing [Company Name]'s issuance of financial guarantees, letters of credit, surety bonds, and other contingent obligations that create potential liabilities on behalf of the company or third parties. The policy ensures proper authorization, accounting, and disclosure per ASC 460 (Guarantees) and ASC 450 (Contingencies).</w:t>
      </w:r>
    </w:p>
    <w:p>
      <w:pPr>
        <w:spacing w:after="150" w:before="0"/>
        <w:jc w:val="both"/>
      </w:pPr>
      <w:r>
        <w:rPr>
          <w:rFonts w:ascii="Calibri" w:cs="Calibri" w:eastAsia="Calibri" w:hAnsi="Calibri"/>
          <w:color w:val="333333"/>
          <w:sz w:val="22"/>
          <w:szCs w:val="22"/>
        </w:rPr>
        <w:t xml:space="preserve">This policy applies to all guarantee instruments including: parent company guarantees of subsidiary obligations, standby letters of credit, commercial letters of credit, performance bonds and surety bonds, bid bonds, payment bonds, comfort letters and keepwell agreements, and indemnification obligations in commercial contracts.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all guarantee obligations are properly authorized before issuance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 for guarantees per ASC 460 (initial fair value recognition and ongoing contingent liability assessment)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 complete register of all outstanding guarantee obligations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Manage aggregate guarantee exposure within Board-approved limits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debt covenant restrictions on guarantee issuance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transparent disclosure of guarantee obligations in financial statements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Financial Guarantee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obligation to make payments to a beneficiary if a third party fails to perform under a specified agreement.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Standby Letter of Credit (SBLC)</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bank-issued guarantee that [Company Name] will fulfill a contractual obligation; drawn only if [Company Name] defaults.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Commercial Letter of Credit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bank-issued guarantee of payment to a vendor upon presentation of specified documents (commonly used in international trade).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Performance Bond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surety bond guaranteeing that [Company Name] will complete a project or contract per its terms.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Surety Bond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three-party agreement (principal, obligee, surety) where the surety guarantees the principal's performance or payment.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Parent Guarantee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guarantee by [Company Name] (parent) of obligations of a subsidiary.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Comfort Letter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letter from a parent to a creditor expressing intent (but not legal obligation) to support a subsidiary's obligations.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Keepwell Agreement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contractual commitment by a parent to maintain a subsidiary's net worth or financial condition at a specified level.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Indemnification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contractual obligation to compensate another party for specified losses.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Contingent Liability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potential obligation arising from a guarantee that depends on the occurrence of a future event (the guaranteed party's default).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Authorization Requirements</w:t>
      </w:r>
    </w:p>
    <w:p>
      <w:pPr>
        <w:spacing w:after="150" w:before="0"/>
        <w:jc w:val="both"/>
      </w:pPr>
      <w:r>
        <w:rPr>
          <w:rFonts w:ascii="Calibri" w:cs="Calibri" w:eastAsia="Calibri" w:hAnsi="Calibri"/>
          <w:color w:val="333333"/>
          <w:sz w:val="22"/>
          <w:szCs w:val="22"/>
        </w:rPr>
        <w:t xml:space="preserve">No guarantee, letter of credit, surety bond, or similar contingent obligation shall be issued without prior written approval per the authority matrix in Section 6. Unauthorized guarantees are void and the individual issuing them may be subject to disciplinary action. Verbal assurances or comfort letters that could be construed as guarantees require Legal review before issuance.</w:t>
      </w:r>
    </w:p>
    <w:p>
      <w:pPr>
        <w:pStyle w:val="Heading2"/>
        <w:spacing w:after="150" w:before="300"/>
      </w:pPr>
      <w:r>
        <w:rPr>
          <w:rFonts w:ascii="Georgia" w:cs="Georgia" w:eastAsia="Georgia" w:hAnsi="Georgia"/>
          <w:b/>
          <w:bCs/>
          <w:color w:val="333333"/>
          <w:sz w:val="26"/>
          <w:szCs w:val="26"/>
        </w:rPr>
        <w:t xml:space="preserve">3.2 Aggregate Exposure Limits</w:t>
      </w:r>
    </w:p>
    <w:p>
      <w:pPr>
        <w:spacing w:after="150" w:before="0"/>
        <w:jc w:val="both"/>
      </w:pPr>
      <w:r>
        <w:rPr>
          <w:rFonts w:ascii="Calibri" w:cs="Calibri" w:eastAsia="Calibri" w:hAnsi="Calibri"/>
          <w:color w:val="333333"/>
          <w:sz w:val="22"/>
          <w:szCs w:val="22"/>
        </w:rPr>
        <w:t xml:space="preserve">[Company Name] shall maintain aggregate exposure limits for guarantee obligations: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Guarantee Type</w:t>
            </w:r>
          </w:p>
        </w:tc>
        <w:tc>
          <w:tcPr>
            <w:tcW w:type="dxa" w:w="6160"/>
            <w:shd w:fill="0C0C0C" w:val="clear"/>
          </w:tcPr>
          <w:p>
            <w:pPr>
              <w:spacing w:after="60" w:before="60"/>
            </w:pPr>
            <w:r>
              <w:rPr>
                <w:rFonts w:ascii="Calibri" w:cs="Calibri" w:eastAsia="Calibri" w:hAnsi="Calibri"/>
                <w:b/>
                <w:bCs/>
                <w:color w:val="D4AF37"/>
                <w:sz w:val="20"/>
                <w:szCs w:val="20"/>
              </w:rPr>
              <w:t xml:space="preserve">Maximum Aggregate Exposure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Parent guarantees of subsidiary debt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[$X]M or [X%] of consolidated net assets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Standby letters of credit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[$X]M (within revolving credit facility LC sub-limit)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Performance and surety bonds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[$X]M</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Commercial letters of credit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[$X]M</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Indemnification obligations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Evaluated individually; aggregate tracked</w:t>
            </w:r>
          </w:p>
        </w:tc>
      </w:tr>
    </w:tbl>
    <w:p>
      <w:pPr>
        <w:spacing w:after="150" w:before="0"/>
        <w:jc w:val="both"/>
      </w:pPr>
      <w:r>
        <w:rPr>
          <w:rFonts w:ascii="Calibri" w:cs="Calibri" w:eastAsia="Calibri" w:hAnsi="Calibri"/>
          <w:color w:val="333333"/>
          <w:sz w:val="22"/>
          <w:szCs w:val="22"/>
        </w:rPr>
        <w:t xml:space="preserve">The Treasurer shall report aggregate guarantee exposure to the CFO monthly and to the Board quarterly. Exposure approaching [80%] of any limit shall trigger a review of outstanding guarantees for potential release.</w:t>
      </w:r>
    </w:p>
    <w:p>
      <w:pPr>
        <w:pStyle w:val="Heading2"/>
        <w:spacing w:after="150" w:before="300"/>
      </w:pPr>
      <w:r>
        <w:rPr>
          <w:rFonts w:ascii="Georgia" w:cs="Georgia" w:eastAsia="Georgia" w:hAnsi="Georgia"/>
          <w:b/>
          <w:bCs/>
          <w:color w:val="333333"/>
          <w:sz w:val="26"/>
          <w:szCs w:val="26"/>
        </w:rPr>
        <w:t xml:space="preserve">3.3 Accounting Treatment</w:t>
      </w:r>
    </w:p>
    <w:p>
      <w:pPr>
        <w:spacing w:after="150" w:before="0"/>
        <w:jc w:val="both"/>
      </w:pPr>
      <w:r>
        <w:rPr>
          <w:rFonts w:ascii="Calibri" w:cs="Calibri" w:eastAsia="Calibri" w:hAnsi="Calibri"/>
          <w:color w:val="333333"/>
          <w:sz w:val="22"/>
          <w:szCs w:val="22"/>
        </w:rPr>
        <w:t xml:space="preserve">Guarantees shall be accounted for per ASC 460:</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Initial recognition: record the guarantee at fair value at inception (typically the premium received or the fair value of the stand-ready obligation)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Ongoing assessment: evaluate the contingent liability under ASC 450 — if a loss is probable and estimable, accrue the expected loss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Disclosure: disclose the nature, terms, maximum potential payments, and carrying amount of all guarantee obligations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Letters of credit: disclose as a commitment; the cash collateral (if any) is restricted cash</w:t>
      </w:r>
    </w:p>
    <w:p>
      <w:pPr>
        <w:pStyle w:val="Heading2"/>
        <w:spacing w:after="150" w:before="300"/>
      </w:pPr>
      <w:r>
        <w:rPr>
          <w:rFonts w:ascii="Georgia" w:cs="Georgia" w:eastAsia="Georgia" w:hAnsi="Georgia"/>
          <w:b/>
          <w:bCs/>
          <w:color w:val="333333"/>
          <w:sz w:val="26"/>
          <w:szCs w:val="26"/>
        </w:rPr>
        <w:t xml:space="preserve">3.4 Intercompany Guarantees</w:t>
      </w:r>
    </w:p>
    <w:p>
      <w:pPr>
        <w:spacing w:after="150" w:before="0"/>
        <w:jc w:val="both"/>
      </w:pPr>
      <w:r>
        <w:rPr>
          <w:rFonts w:ascii="Calibri" w:cs="Calibri" w:eastAsia="Calibri" w:hAnsi="Calibri"/>
          <w:color w:val="333333"/>
          <w:sz w:val="22"/>
          <w:szCs w:val="22"/>
        </w:rPr>
        <w:t xml:space="preserve">Parent guarantees of subsidiary obligations are common but create real exposure. All intercompany guarantees shall be: documented in a formal guarantee agreement (even between related parties), evaluated for transfer pricing implications (an arm's length guarantee fee should be considered), included in the guarantee register, and assessed for contingent liability at each reporting date.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significant guarantee obligations. Reviews aggregate exposure. Reports to the Board.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Treasurer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letters of credit and bank guarantees. Maintains the guarantee register. Monitors LC availability under credit facilities.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Records guarantee accounting entries per ASC 460. Evaluates contingent liability exposure. Prepares disclosures.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General Counsel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guarantee agreements for legal exposure. Evaluates indemnification obligations in commercial contracts. Advises on enforceability.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Business Unit Leaders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Request guarantees for business purposes. Provide operational context for guarantee necessity.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Risk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Evaluates guarantee exposure in the context of enterprise risk. Coordinates surety bond relationships.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Procurement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Identifies LC and guarantee requirements in vendor contracts. Coordinates with Treasury for issuance.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Tests guarantee authorization compliance. Reviews the guarantee register for completeness.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Guarantee Request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Business unit submits a guarantee request to Treasury with: type of guarantee required, beneficiary name and details, amount and currency, term/expiration date, business purpose, and underlying obligation being guaranteed</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Treasury evaluates: availability within aggregate limits, impact on LC sub-facility under the revolving credit agreement, and cost (LC fee, surety premium)</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Legal reviews the guarantee terms and conditions for legal exposure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Approval obtained per the authority matrix</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Treasury arranges the guarantee with the issuing bank or surety</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Controller records the initial accounting entry</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Guarantee is added to the guarantee register</w:t>
      </w:r>
    </w:p>
    <w:p>
      <w:pPr>
        <w:pStyle w:val="Heading2"/>
        <w:spacing w:after="150" w:before="300"/>
      </w:pPr>
      <w:r>
        <w:rPr>
          <w:rFonts w:ascii="Georgia" w:cs="Georgia" w:eastAsia="Georgia" w:hAnsi="Georgia"/>
          <w:b/>
          <w:bCs/>
          <w:color w:val="333333"/>
          <w:sz w:val="26"/>
          <w:szCs w:val="26"/>
        </w:rPr>
        <w:t xml:space="preserve">5.2 Guarantee Register</w:t>
      </w:r>
    </w:p>
    <w:p>
      <w:pPr>
        <w:spacing w:after="150" w:before="0"/>
        <w:jc w:val="both"/>
      </w:pPr>
      <w:r>
        <w:rPr>
          <w:rFonts w:ascii="Calibri" w:cs="Calibri" w:eastAsia="Calibri" w:hAnsi="Calibri"/>
          <w:color w:val="333333"/>
          <w:sz w:val="22"/>
          <w:szCs w:val="22"/>
        </w:rPr>
        <w:t xml:space="preserve">The Treasurer shall maintain a guarantee register documenting every outstanding guarantee: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Guarantee ID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Unique identifier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Type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SBLC / commercial LC / performance bond / parent guarantee / indemnification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Beneficiary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Party protected by the guarantee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Guaranteed party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Entity whose obligation is guaranteed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Amount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Maximum potential payment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Issuance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When the guarantee was issued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Expiration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When the guarantee expires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Annual cost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Fee, premium, or imputed cost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Underlying obligation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contract or obligation being guaranteed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Draw history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Any draws or claims against the guarantee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Approval reference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Who approved and when</w:t>
            </w:r>
          </w:p>
        </w:tc>
      </w:tr>
    </w:tbl>
    <w:p>
      <w:pPr>
        <w:pStyle w:val="Heading2"/>
        <w:spacing w:after="150" w:before="300"/>
      </w:pPr>
      <w:r>
        <w:rPr>
          <w:rFonts w:ascii="Georgia" w:cs="Georgia" w:eastAsia="Georgia" w:hAnsi="Georgia"/>
          <w:b/>
          <w:bCs/>
          <w:color w:val="333333"/>
          <w:sz w:val="26"/>
          <w:szCs w:val="26"/>
        </w:rPr>
        <w:t xml:space="preserve">5.3 Monitoring and Renewal</w:t>
      </w:r>
    </w:p>
    <w:p>
      <w:pPr>
        <w:spacing w:after="150" w:before="0"/>
        <w:jc w:val="both"/>
      </w:pPr>
      <w:r>
        <w:rPr>
          <w:rFonts w:ascii="Calibri" w:cs="Calibri" w:eastAsia="Calibri" w:hAnsi="Calibri"/>
          <w:color w:val="333333"/>
          <w:sz w:val="22"/>
          <w:szCs w:val="22"/>
        </w:rPr>
        <w:t xml:space="preserve">The Treasurer shall: review all guarantees monthly for upcoming expirations ([90] days out), evaluate whether renewal is necessary (is the underlying obligation ongoing?), obtain re-approval for renewals per the authority matrix, negotiate competitive renewal terms, and release guarantees promptly when the underlying obligation is satisfied.</w:t>
      </w:r>
    </w:p>
    <w:p>
      <w:pPr>
        <w:pStyle w:val="Heading2"/>
        <w:spacing w:after="150" w:before="300"/>
      </w:pPr>
      <w:r>
        <w:rPr>
          <w:rFonts w:ascii="Georgia" w:cs="Georgia" w:eastAsia="Georgia" w:hAnsi="Georgia"/>
          <w:b/>
          <w:bCs/>
          <w:color w:val="333333"/>
          <w:sz w:val="26"/>
          <w:szCs w:val="26"/>
        </w:rPr>
        <w:t xml:space="preserve">5.4 Claims and Draws</w:t>
      </w:r>
    </w:p>
    <w:p>
      <w:pPr>
        <w:spacing w:after="150" w:before="0"/>
        <w:jc w:val="both"/>
      </w:pPr>
      <w:r>
        <w:rPr>
          <w:rFonts w:ascii="Calibri" w:cs="Calibri" w:eastAsia="Calibri" w:hAnsi="Calibri"/>
          <w:color w:val="333333"/>
          <w:sz w:val="22"/>
          <w:szCs w:val="22"/>
        </w:rPr>
        <w:t xml:space="preserve">If a guarantee is drawn upon (beneficiary makes a claim): Treasury notifies the CFO immediately, Legal evaluates the validity of the draw, Controller assesses the financial impact and records the liability, the guaranteed party's obligation to reimburse [Company Name] is evaluated and recorded if recovery is probable, and the event is reported to the Audit Committee if material.</w:t>
      </w:r>
    </w:p>
    <w:p>
      <w:pPr>
        <w:pStyle w:val="Heading2"/>
        <w:spacing w:after="150" w:before="300"/>
      </w:pPr>
      <w:r>
        <w:rPr>
          <w:rFonts w:ascii="Georgia" w:cs="Georgia" w:eastAsia="Georgia" w:hAnsi="Georgia"/>
          <w:b/>
          <w:bCs/>
          <w:color w:val="333333"/>
          <w:sz w:val="26"/>
          <w:szCs w:val="26"/>
        </w:rPr>
        <w:t xml:space="preserve">5.5 Indemnification Obligations</w:t>
      </w:r>
    </w:p>
    <w:p>
      <w:pPr>
        <w:spacing w:after="150" w:before="0"/>
        <w:jc w:val="both"/>
      </w:pPr>
      <w:r>
        <w:rPr>
          <w:rFonts w:ascii="Calibri" w:cs="Calibri" w:eastAsia="Calibri" w:hAnsi="Calibri"/>
          <w:color w:val="333333"/>
          <w:sz w:val="22"/>
          <w:szCs w:val="22"/>
        </w:rPr>
        <w:t xml:space="preserve">Indemnification provisions in commercial contracts (customer contracts, vendor agreements, leases) represent a form of guarantee. Legal shall: maintain standard indemnification language approved by the CFO, flag non-standard indemnification provisions for CFO review, assess the maximum potential exposure for material indemnifications, and communicate material indemnifications to the Controller for disclosure evaluation. Standard indemnifications (IP, data breach, property damage) are generally acceptable. Unlimited or uncapped indemnifications require CFO approval.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Guarantee Type</w:t>
            </w:r>
          </w:p>
        </w:tc>
        <w:tc>
          <w:tcPr>
            <w:tcW w:type="dxa" w:w="2400"/>
            <w:shd w:fill="0C0C0C" w:val="clear"/>
          </w:tcPr>
          <w:p>
            <w:pPr>
              <w:spacing w:after="60" w:before="60"/>
            </w:pPr>
            <w:r>
              <w:rPr>
                <w:rFonts w:ascii="Calibri" w:cs="Calibri" w:eastAsia="Calibri" w:hAnsi="Calibri"/>
                <w:b/>
                <w:bCs/>
                <w:color w:val="D4AF37"/>
                <w:sz w:val="20"/>
                <w:szCs w:val="20"/>
              </w:rPr>
              <w:t xml:space="preserve">Amount</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Standby letter of credit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$500K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Standby letter of credit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$500K – $5M</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Standby letter of credit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$5M</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Board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Performance / surety bond</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$1M</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Treasurer + CFO notification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Performance / surety bond</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$1M</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Parent guarantee of subsidiary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$5M</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Parent guarantee of subsidiary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$5M</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Board</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Commercial letter of credit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$1M</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Treasurer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Commercial letter of credit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$1M</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Indemnification (non-standard / uncapped)</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Legal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Comfort letter / keepwell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Legal + Board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Guarantee renewal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Per original approval level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Same approver as original</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Guarantees that would cause aggregate exposure to exceed Board-approved limits require specific Board approval before issuance. Guarantees required on an emergency basis (e.g., customs bond for an urgent shipment) may be approved verbally by the CFO and documented within [48] hours. Guarantee draws or claims shall be escalated to the CFO and Legal immediately upon notification from the issuing bank or beneficiary.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guarantee register review and reconciliation to bank confirmations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aggregate exposure reporting to the CFO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Board reporting on guarantee exposure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contingent liability assessment for all outstanding guarantees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guarantee register audit by Internal Audit</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Guarantee authorization compliance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Guarantee register accuracy (vs. bank confirmations)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Aggregate exposure within limits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Guarantee draws / claims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 (or minimal)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Expired guarantees released timely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[30] days of expiration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Annual guarantee cost as % of guaranteed amount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Benchmarked to market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Debt &amp; Covenant Compliance Policy (LC sub-limit, restricted payment implications)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&amp; Treasury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Contingent Liability &amp; Litigation Reserve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Customer Contract Authority Policy (indemnification provisions)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460, Guarantees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450, Contingencies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UCC Article 5 (Letters of Credit)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Guarantee Request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Requestor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department, 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Guarantee type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SBLC / bond / parent guarantee / other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Beneficiary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and contact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Amount and currency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Maximum exposure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Term</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Start date and expiration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Business purpose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Why the guarantee is needed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Underlying obligation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Contract or arrangement being guaranteed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Cost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Fee / premium quote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Per authority matrix</w:t>
            </w:r>
          </w:p>
        </w:tc>
      </w:tr>
    </w:tbl>
    <w:p>
      <w:pPr>
        <w:pStyle w:val="Heading2"/>
        <w:spacing w:after="150" w:before="300"/>
      </w:pPr>
      <w:r>
        <w:rPr>
          <w:rFonts w:ascii="Georgia" w:cs="Georgia" w:eastAsia="Georgia" w:hAnsi="Georgia"/>
          <w:b/>
          <w:bCs/>
          <w:color w:val="333333"/>
          <w:sz w:val="26"/>
          <w:szCs w:val="26"/>
        </w:rPr>
        <w:t xml:space="preserve">Appendix B — Aggregate Guarantee Exposure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Type</w:t>
            </w:r>
          </w:p>
        </w:tc>
        <w:tc>
          <w:tcPr>
            <w:tcW w:type="dxa" w:w="2400"/>
            <w:shd w:fill="0C0C0C" w:val="clear"/>
          </w:tcPr>
          <w:p>
            <w:pPr>
              <w:spacing w:after="60" w:before="60"/>
            </w:pPr>
            <w:r>
              <w:rPr>
                <w:rFonts w:ascii="Calibri" w:cs="Calibri" w:eastAsia="Calibri" w:hAnsi="Calibri"/>
                <w:b/>
                <w:bCs/>
                <w:color w:val="D4AF37"/>
                <w:sz w:val="20"/>
                <w:szCs w:val="20"/>
              </w:rPr>
              <w:t xml:space="preserve">Outstanding</w:t>
            </w:r>
          </w:p>
        </w:tc>
        <w:tc>
          <w:tcPr>
            <w:tcW w:type="dxa" w:w="4560"/>
            <w:shd w:fill="0C0C0C" w:val="clear"/>
          </w:tcPr>
          <w:p>
            <w:pPr>
              <w:spacing w:after="60" w:before="60"/>
            </w:pPr>
            <w:r>
              <w:rPr>
                <w:rFonts w:ascii="Calibri" w:cs="Calibri" w:eastAsia="Calibri" w:hAnsi="Calibri"/>
                <w:b/>
                <w:bCs/>
                <w:color w:val="D4AF37"/>
                <w:sz w:val="20"/>
                <w:szCs w:val="20"/>
              </w:rPr>
              <w:t xml:space="preserve">Limit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Standby LCs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Performance bonds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Parent guarantees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Commercial LCs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Indemnifications (quantifiable)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Total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Financial Guarantee, Letter of Credit &amp; Surety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2026-07-13T17:05:21.709Z</dcterms:created>
  <dcterms:modified xsi:type="dcterms:W3CDTF">2026-07-13T17:05:21.721Z</dcterms:modified>
</cp:coreProperties>
</file>

<file path=docProps/custom.xml><?xml version="1.0" encoding="utf-8"?>
<Properties xmlns="http://schemas.openxmlformats.org/officeDocument/2006/custom-properties" xmlns:vt="http://schemas.openxmlformats.org/officeDocument/2006/docPropsVTypes"/>
</file>