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Debt Issuance &amp; Refinancing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Debt Issuance and Refinancing Policy establishes the standards, governance, and procedures for issuing new debt, refinancing existing obligations, and managing the capital-raising process at [Company Name]. The policy complements the Debt &amp; Covenant Compliance Policy (which governs ongoing management of existing debt) by providing the framework for new debt transactions.</w:t>
      </w:r>
    </w:p>
    <w:p>
      <w:pPr>
        <w:spacing w:after="150" w:before="0"/>
        <w:jc w:val="both"/>
      </w:pPr>
      <w:r>
        <w:rPr>
          <w:rFonts w:ascii="Calibri" w:cs="Calibri" w:eastAsia="Calibri" w:hAnsi="Calibri"/>
          <w:color w:val="333333"/>
          <w:sz w:val="22"/>
          <w:szCs w:val="22"/>
        </w:rPr>
        <w:t xml:space="preserve">This policy applies to all debt issuance and refinancing activities including: revolving credit facility establishment or amendment, term loan origination, bond or note issuance (public or private placement), convertible debt instruments, project finance and asset-backed facilities, and refinancing of any existing debt obligation.</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governance and approval requirements for new debt issuance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new debt aligns with the target capital structure and is accretive to shareholder value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 the debt issuance process efficiently to minimize execution risk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Obtain competitive terms through disciplined lender/underwriter selection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accounting for debt issuance per ASC 470 and related guidance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Comply with securities regulations for public debt offerings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Term Sheet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non-binding document outlining the principal terms of a proposed debt facility (amount, maturity, rate, covenants).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Commitment Letter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binding agreement from a lender to provide financing on specified terms (subject to conditions).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Underwriter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investment bank that purchases and resells debt securities in a public offering.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Private Placement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debt offering sold directly to qualified institutional investors without SEC registration.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Credit Agreement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definitive legal document governing a bank credit facility (revolver or term loan).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Indenture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legal document governing a bond or note offering, describing the terms, covenants, and trustee role.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Debt Issuance Costs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Costs directly attributable to issuing debt: underwriting fees, legal fees, rating agency fees, and filing fees.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Original Issue Discount (OID)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difference between the face value of a debt instrument and the price at which it is issued (issued below par).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Make-Whole Premium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prepayment penalty calculated to compensate the lender for the interest income lost if the debt is repaid early.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Refinancing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replacement of existing debt with new debt, typically to obtain better terms, extend maturity, or change the capital structure.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Capital Structure Governance</w:t>
      </w:r>
    </w:p>
    <w:p>
      <w:pPr>
        <w:spacing w:after="150" w:before="0"/>
        <w:jc w:val="both"/>
      </w:pPr>
      <w:r>
        <w:rPr>
          <w:rFonts w:ascii="Calibri" w:cs="Calibri" w:eastAsia="Calibri" w:hAnsi="Calibri"/>
          <w:color w:val="333333"/>
          <w:sz w:val="22"/>
          <w:szCs w:val="22"/>
        </w:rPr>
        <w:t xml:space="preserve">[Company Name] shall maintain a target capital structure informed by: the optimal balance of debt and equity considering the tax benefit of debt and the cost of financial distress, rating agency metrics (if rated) and peer company leverage, debt covenant restrictions on incremental borrowing, cash flow stability and debt service capacity, and strategic flexibility requirements (M&amp;A, organic investment, shareholder returns). The target leverage range is [X.Xx – X.Xx] Net Debt/EBITDA. New debt issuance shall not push leverage above the target range without Board approval and a deleveraging plan.</w:t>
      </w:r>
    </w:p>
    <w:p>
      <w:pPr>
        <w:pStyle w:val="Heading2"/>
        <w:spacing w:after="150" w:before="300"/>
      </w:pPr>
      <w:r>
        <w:rPr>
          <w:rFonts w:ascii="Georgia" w:cs="Georgia" w:eastAsia="Georgia" w:hAnsi="Georgia"/>
          <w:b/>
          <w:bCs/>
          <w:color w:val="333333"/>
          <w:sz w:val="26"/>
          <w:szCs w:val="26"/>
        </w:rPr>
        <w:t xml:space="preserve">3.2 New Debt Approval</w:t>
      </w:r>
    </w:p>
    <w:p>
      <w:pPr>
        <w:spacing w:after="150" w:before="0"/>
        <w:jc w:val="both"/>
      </w:pPr>
      <w:r>
        <w:rPr>
          <w:rFonts w:ascii="Calibri" w:cs="Calibri" w:eastAsia="Calibri" w:hAnsi="Calibri"/>
          <w:color w:val="333333"/>
          <w:sz w:val="22"/>
          <w:szCs w:val="22"/>
        </w:rPr>
        <w:t xml:space="preserve">All new debt issuance requires Board of Directors approval. The CFO shall present to the Board: the business rationale for the borrowing (acquisition, refinancing, growth CapEx, working capital), the proposed terms (amount, maturity, rate, covenants), the impact on leverage and credit metrics, the impact on interest expense and EPS, comparison to alternative financing options, and the lender/underwriter selection rationale.</w:t>
      </w:r>
    </w:p>
    <w:p>
      <w:pPr>
        <w:pStyle w:val="Heading2"/>
        <w:spacing w:after="150" w:before="300"/>
      </w:pPr>
      <w:r>
        <w:rPr>
          <w:rFonts w:ascii="Georgia" w:cs="Georgia" w:eastAsia="Georgia" w:hAnsi="Georgia"/>
          <w:b/>
          <w:bCs/>
          <w:color w:val="333333"/>
          <w:sz w:val="26"/>
          <w:szCs w:val="26"/>
        </w:rPr>
        <w:t xml:space="preserve">3.3 Lender and Underwriter Selection</w:t>
      </w:r>
    </w:p>
    <w:p>
      <w:pPr>
        <w:spacing w:after="150" w:before="0"/>
        <w:jc w:val="both"/>
      </w:pPr>
      <w:r>
        <w:rPr>
          <w:rFonts w:ascii="Calibri" w:cs="Calibri" w:eastAsia="Calibri" w:hAnsi="Calibri"/>
          <w:color w:val="333333"/>
          <w:sz w:val="22"/>
          <w:szCs w:val="22"/>
        </w:rPr>
        <w:t xml:space="preserve">Lenders and underwriters shall be selected through a competitive process: for bank facilities (revolvers, term loans): obtain proposals from at least [3] banks, for public bond/note offerings: select underwriters based on distribution capability, pricing, and relationship, and for private placements: evaluate multiple placement agents and investor appetite. Selection criteria include: proposed terms and pricing, relationship history with [Company Name], execution capability, distribution strength, and ongoing support (ancillary services, amendments, syndication).</w:t>
      </w:r>
    </w:p>
    <w:p>
      <w:pPr>
        <w:pStyle w:val="Heading2"/>
        <w:spacing w:after="150" w:before="300"/>
      </w:pPr>
      <w:r>
        <w:rPr>
          <w:rFonts w:ascii="Georgia" w:cs="Georgia" w:eastAsia="Georgia" w:hAnsi="Georgia"/>
          <w:b/>
          <w:bCs/>
          <w:color w:val="333333"/>
          <w:sz w:val="26"/>
          <w:szCs w:val="26"/>
        </w:rPr>
        <w:t xml:space="preserve">3.4 Refinancing Standards</w:t>
      </w:r>
    </w:p>
    <w:p>
      <w:pPr>
        <w:spacing w:after="150" w:before="0"/>
        <w:jc w:val="both"/>
      </w:pPr>
      <w:r>
        <w:rPr>
          <w:rFonts w:ascii="Calibri" w:cs="Calibri" w:eastAsia="Calibri" w:hAnsi="Calibri"/>
          <w:color w:val="333333"/>
          <w:sz w:val="22"/>
          <w:szCs w:val="22"/>
        </w:rPr>
        <w:t xml:space="preserve">Refinancing of existing debt should be pursued when: lower interest rates are available (net of transaction costs, the refinancing should save &gt; [X] bps), maturity extension improves the maturity profile, covenant relief provides needed operational flexibility, or the capital structure is being optimized (e.g., replacing short-term with long-term debt). Refinancing shall not be pursued solely to defer principal payments when the company has adequate cash flow.</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Board of Directors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all new debt issuance and refinancing. Reviews the capital structure strategy annually.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Leads the debt issuance process. Negotiates terms with lenders. Presents to the Board. Manages lender relationships.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Treasurer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the execution of debt transactions. Coordinates with legal counsel on documentation. Processes loan drawdowns and payments.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Ensures proper accounting for new debt per ASC 470. Records debt issuance costs. Evaluates extinguishment vs. modification accounting for refinancing.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Manages legal documentation (credit agreements, indentures). Reviews representations and warranties. Coordinates with outside counsel.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Models the financial impact of proposed debt (interest expense, leverage, EPS, cash flow). Prepares scenario analysis.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Evaluates the tax implications of the debt structure (interest deductibility limitations under IRC Section 163(j), OID amortization).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External Counsel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Prepares and negotiates legal documentation. Provides securities law advice for public offerings.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Rating Agencies (if rated)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Evaluate the credit impact of new debt. Provide a rating for public offerings.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Debt Issuance Process — Bank Facility</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CFO identifies the financing need and proposes the structure to the Board</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Treasury prepares an information package for prospective lenders (company overview, financial statements, projections)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CFO and Treasurer solicit proposals from [3+] banks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FP&amp;A models the financial impact of each proposal</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CFO selects the lead arranger and negotiates the term sheet</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Board approves the transaction</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Legal documentation negotiated and executed (credit agreement, security documents, officer certificates)</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Closing conditions satisfied (legal opinions, perfection of security interests, officer certificates)</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Facility is funded; Controller records the debt and deferred financing costs</w:t>
      </w:r>
    </w:p>
    <w:p>
      <w:pPr>
        <w:spacing w:after="80"/>
        <w:ind w:left="720"/>
      </w:pPr>
      <w:r>
        <w:rPr>
          <w:rFonts w:ascii="Calibri" w:cs="Calibri" w:eastAsia="Calibri" w:hAnsi="Calibri"/>
          <w:b/>
          <w:bCs/>
          <w:color w:val="D4AF37"/>
          <w:sz w:val="22"/>
          <w:szCs w:val="22"/>
        </w:rPr>
        <w:t xml:space="preserve">10.  </w:t>
      </w:r>
      <w:r>
        <w:rPr>
          <w:rFonts w:ascii="Calibri" w:cs="Calibri" w:eastAsia="Calibri" w:hAnsi="Calibri"/>
          <w:color w:val="333333"/>
          <w:sz w:val="22"/>
          <w:szCs w:val="22"/>
        </w:rPr>
        <w:t xml:space="preserve">Ongoing compliance per the Debt &amp; Covenant Compliance Policy</w:t>
      </w:r>
    </w:p>
    <w:p>
      <w:pPr>
        <w:pStyle w:val="Heading2"/>
        <w:spacing w:after="150" w:before="300"/>
      </w:pPr>
      <w:r>
        <w:rPr>
          <w:rFonts w:ascii="Georgia" w:cs="Georgia" w:eastAsia="Georgia" w:hAnsi="Georgia"/>
          <w:b/>
          <w:bCs/>
          <w:color w:val="333333"/>
          <w:sz w:val="26"/>
          <w:szCs w:val="26"/>
        </w:rPr>
        <w:t xml:space="preserve">5.2 Debt Issuance Process — Public Offering</w:t>
      </w:r>
    </w:p>
    <w:p>
      <w:pPr>
        <w:spacing w:after="150" w:before="0"/>
        <w:jc w:val="both"/>
      </w:pPr>
      <w:r>
        <w:rPr>
          <w:rFonts w:ascii="Calibri" w:cs="Calibri" w:eastAsia="Calibri" w:hAnsi="Calibri"/>
          <w:color w:val="333333"/>
          <w:sz w:val="22"/>
          <w:szCs w:val="22"/>
        </w:rPr>
        <w:t xml:space="preserve">For public bond or note offerings, additional steps include: underwriter selection through a competitive process, SEC registration (or reliance on an existing shelf registration statement), rating agency engagement and credit rating assignment, investor marketing (roadshow presentations), pricing and allocation, and ongoing SEC reporting obligations (including indenture compliance).</w:t>
      </w:r>
    </w:p>
    <w:p>
      <w:pPr>
        <w:pStyle w:val="Heading2"/>
        <w:spacing w:after="150" w:before="300"/>
      </w:pPr>
      <w:r>
        <w:rPr>
          <w:rFonts w:ascii="Georgia" w:cs="Georgia" w:eastAsia="Georgia" w:hAnsi="Georgia"/>
          <w:b/>
          <w:bCs/>
          <w:color w:val="333333"/>
          <w:sz w:val="26"/>
          <w:szCs w:val="26"/>
        </w:rPr>
        <w:t xml:space="preserve">5.3 Accounting for Debt Issuance</w:t>
      </w:r>
    </w:p>
    <w:p>
      <w:pPr>
        <w:pStyle w:val="Heading3"/>
        <w:spacing w:after="100" w:before="200"/>
      </w:pPr>
      <w:r>
        <w:rPr>
          <w:rFonts w:ascii="Georgia" w:cs="Georgia" w:eastAsia="Georgia" w:hAnsi="Georgia"/>
          <w:b/>
          <w:bCs/>
          <w:color w:val="444444"/>
          <w:sz w:val="22"/>
          <w:szCs w:val="22"/>
        </w:rPr>
        <w:t xml:space="preserve">5.3.1 Debt Issuance Costs</w:t>
      </w:r>
    </w:p>
    <w:p>
      <w:pPr>
        <w:spacing w:after="150" w:before="0"/>
        <w:jc w:val="both"/>
      </w:pPr>
      <w:r>
        <w:rPr>
          <w:rFonts w:ascii="Calibri" w:cs="Calibri" w:eastAsia="Calibri" w:hAnsi="Calibri"/>
          <w:color w:val="333333"/>
          <w:sz w:val="22"/>
          <w:szCs w:val="22"/>
        </w:rPr>
        <w:t xml:space="preserve">Per ASC 835-30, debt issuance costs shall be: presented as a direct deduction from the carrying amount of the debt on the balance sheet (not as an asset), amortized over the life of the related debt using the effective interest method, and for revolving credit facilities: presented as an asset and amortized over the facility term.</w:t>
      </w:r>
    </w:p>
    <w:p>
      <w:pPr>
        <w:pStyle w:val="Heading3"/>
        <w:spacing w:after="100" w:before="200"/>
      </w:pPr>
      <w:r>
        <w:rPr>
          <w:rFonts w:ascii="Georgia" w:cs="Georgia" w:eastAsia="Georgia" w:hAnsi="Georgia"/>
          <w:b/>
          <w:bCs/>
          <w:color w:val="444444"/>
          <w:sz w:val="22"/>
          <w:szCs w:val="22"/>
        </w:rPr>
        <w:t xml:space="preserve">5.3.2 Refinancing — Extinguishment vs. Modification</w:t>
      </w:r>
    </w:p>
    <w:p>
      <w:pPr>
        <w:spacing w:after="150" w:before="0"/>
        <w:jc w:val="both"/>
      </w:pPr>
      <w:r>
        <w:rPr>
          <w:rFonts w:ascii="Calibri" w:cs="Calibri" w:eastAsia="Calibri" w:hAnsi="Calibri"/>
          <w:color w:val="333333"/>
          <w:sz w:val="22"/>
          <w:szCs w:val="22"/>
        </w:rPr>
        <w:t xml:space="preserve">The Controller shall evaluate refinancing transactions to determine whether the debt is extinguished (old debt derecognized, new debt recorded) or modified (terms of existing debt adjusted). The analysis follows ASC 470-50: if the present value of cash flows under new terms differs by &gt; 10% from the present value of remaining cash flows under old terms, the debt is extinguished. Extinguishment results in: immediate recognition of any unamortized issuance costs, and recognition of an extinguishment gain or loss. Modification results in: prospective adjustment of the effective interest rate, and new third-party costs expensed, lender fees adjusting the carrying amount.</w:t>
      </w:r>
    </w:p>
    <w:p>
      <w:pPr>
        <w:pStyle w:val="Heading2"/>
        <w:spacing w:after="150" w:before="300"/>
      </w:pPr>
      <w:r>
        <w:rPr>
          <w:rFonts w:ascii="Georgia" w:cs="Georgia" w:eastAsia="Georgia" w:hAnsi="Georgia"/>
          <w:b/>
          <w:bCs/>
          <w:color w:val="333333"/>
          <w:sz w:val="26"/>
          <w:szCs w:val="26"/>
        </w:rPr>
        <w:t xml:space="preserve">5.4 Debt Maturity Planning</w:t>
      </w:r>
    </w:p>
    <w:p>
      <w:pPr>
        <w:spacing w:after="150" w:before="0"/>
        <w:jc w:val="both"/>
      </w:pPr>
      <w:r>
        <w:rPr>
          <w:rFonts w:ascii="Calibri" w:cs="Calibri" w:eastAsia="Calibri" w:hAnsi="Calibri"/>
          <w:color w:val="333333"/>
          <w:sz w:val="22"/>
          <w:szCs w:val="22"/>
        </w:rPr>
        <w:t xml:space="preserve">The Treasurer shall maintain a debt maturity schedule and refinancing plan: maturing debt shall be identified at least [18] months in advance, refinancing alternatives shall be evaluated at least [12] months before maturity, and no more than [X%] of total debt shall mature in any rolling 12-month period. The maturity schedule shall be presented to the Board semi-annually as part of the capital structure review.</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Debt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debt facility (any type)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Board of Directors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Refinancing of existing debt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Board of Directors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Revolving credit facility drawdown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Within existing facility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 + CFO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Incremental facility (accordion feature)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Board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Amendment to credit agreement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Debt prepayment (voluntary)</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Board notification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Lender/underwriter selection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Rating agency engagement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Debt issuance cost approval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$250K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Bridge financing (short-term borrowing pending permanent financing) may be approved by the CFO without full Board approval for amounts up to [$X] and terms up to [90] days, with Board ratification at the next meeting. If market conditions deteriorate during a planned issuance, the CFO may postpone the transaction without Board re-approval. Material changes to approved terms (rate increase &gt; [X] bps, tighter covenants) require Board re-approval.</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capital structure and maturity profile review with the Board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Semi-annual debt market conditions assessment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interest rate environment monitoring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refinancing pipeline review (upcoming maturities)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debt issuance cost amortization verification</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Weighted average cost of debt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Weighted average maturity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 years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No more than [X%] maturing in any 12-month period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Compliance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Leverage ratio (Net Debt/EBITDA)</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target range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Interest coverage ratio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&gt; [X.Xx]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Refinancing completed before maturity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(no maturity without committed replacement)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Debt &amp; Covenant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&amp; Treasury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Foreign Currency Management Policy (for multi-currency facilities)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470, Debt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835-30, Debt Issuance Costs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470-50, Extinguishment vs. Modification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Securities Act of 1933 (for public offerings)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Debt Issuance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Board resolution authorizing the issuance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Term sheet / commitment letter executed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Legal documentation finalized (credit agreement / indenture)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Officer certificates prepared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Legal opinions obtained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Rating agency letter (if applicable)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Funds received and recorded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Debt issuance costs recorded and amortization schedule established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Covenant compliance tracking set up in Treasury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Controller: extinguishment vs. modification analysis complete (for refinancing)</w:t>
      </w:r>
    </w:p>
    <w:p>
      <w:pPr>
        <w:pStyle w:val="Heading2"/>
        <w:spacing w:after="150" w:before="300"/>
      </w:pPr>
      <w:r>
        <w:rPr>
          <w:rFonts w:ascii="Georgia" w:cs="Georgia" w:eastAsia="Georgia" w:hAnsi="Georgia"/>
          <w:b/>
          <w:bCs/>
          <w:color w:val="333333"/>
          <w:sz w:val="26"/>
          <w:szCs w:val="26"/>
        </w:rPr>
        <w:t xml:space="preserve">Appendix B — Debt Summary Schedule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Facility type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Revolver / Term Loan / Bond / Note / Other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Lender / Trustee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Counterparty name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Original principal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Face amount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Outstanding balance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Current balance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Interest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Fixed/variable; current rate; benchmark</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Maturity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Final maturity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Amortization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Scheduled principal payments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Key covenants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Leverage, coverage, CapEx limits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Unamortized issuance costs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Remaining deferred costs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Next refinancing action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When planning should begin</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Debt Issuance &amp; Refinancing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2026-07-13T16:59:24.417Z</dcterms:created>
  <dcterms:modified xsi:type="dcterms:W3CDTF">2026-07-13T16:59:24.417Z</dcterms:modified>
</cp:coreProperties>
</file>

<file path=docProps/custom.xml><?xml version="1.0" encoding="utf-8"?>
<Properties xmlns="http://schemas.openxmlformats.org/officeDocument/2006/custom-properties" xmlns:vt="http://schemas.openxmlformats.org/officeDocument/2006/docPropsVTypes"/>
</file>