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0"/>
      </w:pPr>
    </w:p>
    <w:p>
      <w:pPr>
        <w:spacing w:after="200"/>
        <w:jc w:val="center"/>
      </w:pPr>
      <w:r>
        <w:rPr>
          <w:rFonts w:ascii="Georgia" w:cs="Georgia" w:eastAsia="Georgia" w:hAnsi="Georgia"/>
          <w:b/>
          <w:bCs/>
          <w:color w:val="D4AF37"/>
          <w:sz w:val="56"/>
          <w:szCs w:val="56"/>
        </w:rPr>
        <w:t xml:space="preserve">EFuturesCFO</w:t>
      </w:r>
    </w:p>
    <w:p>
      <w:pPr>
        <w:spacing w:after="100"/>
        <w:jc w:val="center"/>
      </w:pPr>
      <w:r>
        <w:rPr>
          <w:rFonts w:ascii="Calibri" w:cs="Calibri" w:eastAsia="Calibri" w:hAnsi="Calibri"/>
          <w:color w:val="9CA3AF"/>
          <w:sz w:val="24"/>
          <w:szCs w:val="24"/>
        </w:rPr>
        <w:t xml:space="preserve">Executive Decision Tools</w:t>
      </w:r>
    </w:p>
    <w:p>
      <w:pPr>
        <w:pBdr>
          <w:bottom w:val="single" w:color="D4AF37" w:sz="6"/>
        </w:pBdr>
        <w:spacing w:after="600"/>
        <w:jc w:val="center"/>
      </w:pPr>
      <w:r>
        <w:rPr>
          <w:sz w:val="12"/>
          <w:szCs w:val="12"/>
        </w:rPr>
        <w:t xml:space="preserve"> </w:t>
      </w:r>
    </w:p>
    <w:p>
      <w:pPr>
        <w:spacing w:after="400"/>
      </w:pPr>
    </w:p>
    <w:p>
      <w:pPr>
        <w:spacing w:after="200"/>
        <w:jc w:val="center"/>
      </w:pPr>
      <w:r>
        <w:rPr>
          <w:rFonts w:ascii="Georgia" w:cs="Georgia" w:eastAsia="Georgia" w:hAnsi="Georgia"/>
          <w:b/>
          <w:bCs/>
          <w:color w:val="0C0C0C"/>
          <w:sz w:val="48"/>
          <w:szCs w:val="48"/>
        </w:rPr>
        <w:t xml:space="preserve">Wire Transfer &amp; Electronic Payment Policy</w:t>
      </w:r>
    </w:p>
    <w:p>
      <w:pPr>
        <w:spacing w:after="200"/>
        <w:jc w:val="center"/>
      </w:pPr>
      <w:r>
        <w:rPr>
          <w:rFonts w:ascii="Calibri" w:cs="Calibri" w:eastAsia="Calibri" w:hAnsi="Calibri"/>
          <w:color w:val="666666"/>
          <w:sz w:val="28"/>
          <w:szCs w:val="28"/>
        </w:rPr>
        <w:t xml:space="preserve">Policy &amp; Procedures Manual</w:t>
      </w:r>
    </w:p>
    <w:p>
      <w:pPr>
        <w:spacing w:after="2000"/>
      </w:pPr>
    </w:p>
    <w:p>
      <w:pPr>
        <w:spacing w:after="100"/>
        <w:jc w:val="center"/>
      </w:pPr>
      <w:r>
        <w:rPr>
          <w:rFonts w:ascii="Calibri" w:cs="Calibri" w:eastAsia="Calibri" w:hAnsi="Calibri"/>
          <w:b/>
          <w:bCs/>
          <w:color w:val="0C0C0C"/>
          <w:sz w:val="28"/>
          <w:szCs w:val="28"/>
        </w:rPr>
        <w:t xml:space="preserve">[Company Name]</w:t>
      </w:r>
    </w:p>
    <w:p>
      <w:pPr>
        <w:spacing w:after="100"/>
        <w:jc w:val="center"/>
      </w:pPr>
      <w:r>
        <w:rPr>
          <w:rFonts w:ascii="Calibri" w:cs="Calibri" w:eastAsia="Calibri" w:hAnsi="Calibri"/>
          <w:color w:val="9CA3AF"/>
          <w:sz w:val="22"/>
          <w:szCs w:val="22"/>
        </w:rPr>
        <w:t xml:space="preserve">Policy Document — Confidential</w:t>
      </w:r>
    </w:p>
    <w:p>
      <w:pPr>
        <w:spacing w:after="100"/>
        <w:jc w:val="center"/>
      </w:pPr>
      <w:r>
        <w:rPr>
          <w:rFonts w:ascii="Calibri" w:cs="Calibri" w:eastAsia="Calibri" w:hAnsi="Calibri"/>
          <w:color w:val="9CA3AF"/>
          <w:sz w:val="20"/>
          <w:szCs w:val="20"/>
        </w:rPr>
        <w:t xml:space="preserve">Effective Date: [Date]  |  Version: 1.0</w:t>
      </w:r>
    </w:p>
    <w:p>
      <w:pPr>
        <w:spacing w:after="100"/>
        <w:jc w:val="center"/>
      </w:pPr>
      <w:r>
        <w:rPr>
          <w:rFonts w:ascii="Calibri" w:cs="Calibri" w:eastAsia="Calibri" w:hAnsi="Calibri"/>
          <w:color w:val="9CA3AF"/>
          <w:sz w:val="20"/>
          <w:szCs w:val="20"/>
        </w:rPr>
        <w:t xml:space="preserve">Owner: [Policy Owner Title]  |  Approved by: [CFO Name]</w:t>
      </w:r>
    </w:p>
    <w:p>
      <w:r>
        <w:br w:type="page"/>
      </w:r>
    </w:p>
    <w:p>
      <w:pPr>
        <w:pStyle w:val="Heading1"/>
        <w:spacing w:after="300"/>
      </w:pPr>
      <w:r>
        <w:rPr>
          <w:rFonts w:ascii="Georgia" w:cs="Georgia" w:eastAsia="Georgia" w:hAnsi="Georgia"/>
          <w:b/>
          <w:bCs/>
          <w:color w:val="0C0C0C"/>
          <w:sz w:val="32"/>
          <w:szCs w:val="32"/>
        </w:rPr>
        <w:t xml:space="preserve">Table of 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 Purpose &amp; Scope</w:t>
      </w:r>
    </w:p>
    <w:p>
      <w:pPr>
        <w:spacing w:after="150" w:before="0"/>
        <w:jc w:val="both"/>
      </w:pPr>
      <w:r>
        <w:rPr>
          <w:rFonts w:ascii="Calibri" w:cs="Calibri" w:eastAsia="Calibri" w:hAnsi="Calibri"/>
          <w:color w:val="333333"/>
          <w:sz w:val="22"/>
          <w:szCs w:val="22"/>
        </w:rPr>
        <w:t xml:space="preserve">This Wire Transfer and Electronic Payment Policy establishes the specific authorization, verification, and security controls governing wire transfers, ACH payments, and other high-value electronic funds transfers at [Company Name]. This policy supplements the Accounts Payable &amp; Disbursement Policy and the Cybersecurity (Finance) Policy with enhanced controls for payment methods that carry the highest fraud risk.</w:t>
      </w:r>
    </w:p>
    <w:p>
      <w:pPr>
        <w:spacing w:after="150" w:before="0"/>
        <w:jc w:val="both"/>
      </w:pPr>
      <w:r>
        <w:rPr>
          <w:rFonts w:ascii="Calibri" w:cs="Calibri" w:eastAsia="Calibri" w:hAnsi="Calibri"/>
          <w:color w:val="333333"/>
          <w:sz w:val="22"/>
          <w:szCs w:val="22"/>
        </w:rPr>
        <w:t xml:space="preserve">This policy applies to all electronic payment types including: domestic and international wire transfers, ACH credit origination (vendor payments, payroll), same-day ACH, real-time payments (RTP), book transfers between company accounts, and standing payment instructions (recurring wires).</w:t>
      </w:r>
    </w:p>
    <w:p>
      <w:pPr>
        <w:pStyle w:val="Heading2"/>
        <w:spacing w:after="150" w:before="300"/>
      </w:pPr>
      <w:r>
        <w:rPr>
          <w:rFonts w:ascii="Georgia" w:cs="Georgia" w:eastAsia="Georgia" w:hAnsi="Georgia"/>
          <w:b/>
          <w:bCs/>
          <w:color w:val="333333"/>
          <w:sz w:val="26"/>
          <w:szCs w:val="26"/>
        </w:rPr>
        <w:t xml:space="preserve">1.1 Objectives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Prevent unauthorized wire transfers and electronic payment fraud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Establish dual-authorization controls for all high-value electronic payments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Require out-of-band verification for all payment instruction changes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Define clear authorization limits for each payment method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Ensure compliance with OFAC screening and BSA/AML requirements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Create a complete audit trail for every electronic payment</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2. Definitions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Term</w:t>
            </w:r>
          </w:p>
        </w:tc>
        <w:tc>
          <w:tcPr>
            <w:tcW w:type="dxa" w:w="6160"/>
            <w:shd w:fill="0C0C0C" w:val="clear"/>
          </w:tcPr>
          <w:p>
            <w:pPr>
              <w:spacing w:after="60" w:before="60"/>
            </w:pPr>
            <w:r>
              <w:rPr>
                <w:rFonts w:ascii="Calibri" w:cs="Calibri" w:eastAsia="Calibri" w:hAnsi="Calibri"/>
                <w:b/>
                <w:bCs/>
                <w:color w:val="D4AF37"/>
                <w:sz w:val="20"/>
                <w:szCs w:val="20"/>
              </w:rPr>
              <w:t xml:space="preserve">Definition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Wire Transfer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An electronic transfer of funds through a bank network (Fedwire or SWIFT) that is typically irrevocable once processed.</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ACH</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Automated Clearing House — an electronic network for batch-processed financial transactions, including direct deposit and vendor payments.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Same-Day ACH</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An ACH transaction processed with same-day settlement, increasing speed but reducing the window for fraud detection.</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Dual Authorization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requirement for two authorized individuals to independently approve a payment before it is executed.</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Out-of-Band Verification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Confirming payment instructions through a different communication channel than the one used to receive the instructions (e.g., phone callback to verify an emailed wire request).</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Payment Template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pre-approved beneficiary and routing configuration stored in the banking platform for recurring payments.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Standing Wire Instruction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pre-authorized recurring wire to the same beneficiary at a fixed or variable amount.</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OFAC Screening</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Checking payment beneficiaries against the Office of Foreign Assets Control sanctions lists.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Positive Pay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fraud prevention service where the bank matches presented checks/ACH debits against a company-issued file.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Callback Verification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phone call to a pre-established phone number (not from the payment request) to verify the legitimacy and accuracy of payment instructions.</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3. Policy Statements</w:t>
      </w:r>
    </w:p>
    <w:p>
      <w:pPr>
        <w:pStyle w:val="Heading2"/>
        <w:spacing w:after="150" w:before="300"/>
      </w:pPr>
      <w:r>
        <w:rPr>
          <w:rFonts w:ascii="Georgia" w:cs="Georgia" w:eastAsia="Georgia" w:hAnsi="Georgia"/>
          <w:b/>
          <w:bCs/>
          <w:color w:val="333333"/>
          <w:sz w:val="26"/>
          <w:szCs w:val="26"/>
        </w:rPr>
        <w:t xml:space="preserve">3.1 Authorization Matrix</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Payment Amount</w:t>
            </w:r>
          </w:p>
        </w:tc>
        <w:tc>
          <w:tcPr>
            <w:tcW w:type="dxa" w:w="2400"/>
            <w:shd w:fill="0C0C0C" w:val="clear"/>
          </w:tcPr>
          <w:p>
            <w:pPr>
              <w:spacing w:after="60" w:before="60"/>
            </w:pPr>
            <w:r>
              <w:rPr>
                <w:rFonts w:ascii="Calibri" w:cs="Calibri" w:eastAsia="Calibri" w:hAnsi="Calibri"/>
                <w:b/>
                <w:bCs/>
                <w:color w:val="D4AF37"/>
                <w:sz w:val="20"/>
                <w:szCs w:val="20"/>
              </w:rPr>
              <w:t xml:space="preserve">Wire Transfer</w:t>
            </w:r>
          </w:p>
        </w:tc>
        <w:tc>
          <w:tcPr>
            <w:tcW w:type="dxa" w:w="4560"/>
            <w:shd w:fill="0C0C0C" w:val="clear"/>
          </w:tcPr>
          <w:p>
            <w:pPr>
              <w:spacing w:after="60" w:before="60"/>
            </w:pPr>
            <w:r>
              <w:rPr>
                <w:rFonts w:ascii="Calibri" w:cs="Calibri" w:eastAsia="Calibri" w:hAnsi="Calibri"/>
                <w:b/>
                <w:bCs/>
                <w:color w:val="D4AF37"/>
                <w:sz w:val="20"/>
                <w:szCs w:val="20"/>
              </w:rPr>
              <w:t xml:space="preserve">ACH Payment</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&lt; $10,000</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Treasury Analyst (single authorization)</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Treasury Analyst (single authorization)</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$10,000 – $100,000</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Treasurer + one additional authorized signer</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Treasurer (single authorization)</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$100,000 – $500,000</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Treasurer + CFO</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Treasurer + one additional authorized signer</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$500,000 – $2,000,000</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CFO + Treasurer</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CFO + Treasurer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$2,000,000 – $10,000,000</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CFO + CEO</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CFO + Treasurer</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&gt; $10,000,000</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CFO + CEO + Board notification</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CFO + CEO</w:t>
            </w:r>
          </w:p>
        </w:tc>
      </w:tr>
    </w:tbl>
    <w:p>
      <w:pPr>
        <w:pBdr>
          <w:left w:val="single" w:color="D4AF37" w:sz="8"/>
        </w:pBdr>
        <w:spacing w:after="200" w:before="100"/>
        <w:ind w:left="360"/>
      </w:pPr>
      <w:r>
        <w:rPr>
          <w:rFonts w:ascii="Calibri" w:cs="Calibri" w:eastAsia="Calibri" w:hAnsi="Calibri"/>
          <w:b/>
          <w:bCs/>
          <w:color w:val="D4AF37"/>
          <w:sz w:val="20"/>
          <w:szCs w:val="20"/>
        </w:rPr>
        <w:t xml:space="preserve">Note: </w:t>
      </w:r>
      <w:r>
        <w:rPr>
          <w:rFonts w:ascii="Calibri" w:cs="Calibri" w:eastAsia="Calibri" w:hAnsi="Calibri"/>
          <w:i/>
          <w:iCs/>
          <w:color w:val="666666"/>
          <w:sz w:val="20"/>
          <w:szCs w:val="20"/>
        </w:rPr>
        <w:t xml:space="preserve">All international wires require OFAC screening regardless of amount. All amounts above represent individual transaction limits.</w:t>
      </w:r>
    </w:p>
    <w:p>
      <w:pPr>
        <w:pStyle w:val="Heading2"/>
        <w:spacing w:after="150" w:before="300"/>
      </w:pPr>
      <w:r>
        <w:rPr>
          <w:rFonts w:ascii="Georgia" w:cs="Georgia" w:eastAsia="Georgia" w:hAnsi="Georgia"/>
          <w:b/>
          <w:bCs/>
          <w:color w:val="333333"/>
          <w:sz w:val="26"/>
          <w:szCs w:val="26"/>
        </w:rPr>
        <w:t xml:space="preserve">3.2 Payment Instruction Changes</w:t>
      </w:r>
    </w:p>
    <w:p>
      <w:pPr>
        <w:spacing w:after="150" w:before="0"/>
        <w:jc w:val="both"/>
      </w:pPr>
      <w:r>
        <w:rPr>
          <w:rFonts w:ascii="Calibri" w:cs="Calibri" w:eastAsia="Calibri" w:hAnsi="Calibri"/>
          <w:color w:val="333333"/>
          <w:sz w:val="22"/>
          <w:szCs w:val="22"/>
        </w:rPr>
        <w:t xml:space="preserve">Any change to beneficiary payment instructions (bank account, routing number, SWIFT code, beneficiary name) requires:</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Written request from the vendor/beneficiary on company letterhead</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Callback verification to a phone number already on file (NOT the number in the change request)</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Dual approval of the change in the vendor master file</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First payment under new instructions held for [24] hours before release (if not urgent)</w:t>
      </w:r>
    </w:p>
    <w:p>
      <w:pPr>
        <w:spacing w:after="150" w:before="0"/>
        <w:jc w:val="both"/>
      </w:pPr>
      <w:r>
        <w:rPr>
          <w:rFonts w:ascii="Calibri" w:cs="Calibri" w:eastAsia="Calibri" w:hAnsi="Calibri"/>
          <w:color w:val="333333"/>
          <w:sz w:val="22"/>
          <w:szCs w:val="22"/>
        </w:rPr>
        <w:t xml:space="preserve">These controls are designed to prevent Business Email Compromise (BEC) fraud, which targets payment instruction changes.</w:t>
      </w:r>
    </w:p>
    <w:p>
      <w:pPr>
        <w:pStyle w:val="Heading2"/>
        <w:spacing w:after="150" w:before="300"/>
      </w:pPr>
      <w:r>
        <w:rPr>
          <w:rFonts w:ascii="Georgia" w:cs="Georgia" w:eastAsia="Georgia" w:hAnsi="Georgia"/>
          <w:b/>
          <w:bCs/>
          <w:color w:val="333333"/>
          <w:sz w:val="26"/>
          <w:szCs w:val="26"/>
        </w:rPr>
        <w:t xml:space="preserve">3.3 Prohibited Activities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Wire transfers initiated based solely on email instructions without callback verification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Wire transfers to personal accounts (exceptions require CFO approval with documented business justification)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Splitting transactions to circumvent authorization limits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Using the same individual as both initiator and approver</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Overriding system-enforced dual authorization controls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Processing wires outside of business hours without CFO pre-approval</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4. Roles &amp; Responsibilities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Responsibilities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CFO</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Approves high-value payments per the authorization matrix. Reviews wire activity reports. Approves policy exceptions.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Treasurer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Manages day-to-day payment operations. Initiates and approves payments within authority. Manages banking platform access.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Treasury Analyst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Processes payment requests. Performs OFAC screening. Maintains payment templates. Prepares the daily cash position.</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Controller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Reviews payment activity for proper coding. Monitors unusual payment patterns. Ensures proper accounting.</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AP Manager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Submits wire and ACH payment requests to Treasury with supporting documentation. Verifies vendor payment instructions.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CISO / IT Security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Manages banking platform security (MFA, IP restrictions, session controls). Monitors for unauthorized access.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Internal Audit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Tests wire transfer controls. Reviews authorization compliance. Tests callback verification procedures.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Banking Partners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Provide the payment platform. Enforce dual-authorization controls. Provide fraud monitoring services.</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5. Detailed Procedures</w:t>
      </w:r>
    </w:p>
    <w:p>
      <w:pPr>
        <w:pStyle w:val="Heading2"/>
        <w:spacing w:after="150" w:before="300"/>
      </w:pPr>
      <w:r>
        <w:rPr>
          <w:rFonts w:ascii="Georgia" w:cs="Georgia" w:eastAsia="Georgia" w:hAnsi="Georgia"/>
          <w:b/>
          <w:bCs/>
          <w:color w:val="333333"/>
          <w:sz w:val="26"/>
          <w:szCs w:val="26"/>
        </w:rPr>
        <w:t xml:space="preserve">5.1 Wire Transfer Process</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AP or the requesting department submits a wire request form to Treasury with: beneficiary name and address, bank name and address, account number and routing/SWIFT code, amount and currency, purpose/invoice reference, and required value date</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Treasury Analyst verifies the request against the approved vendor master file</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For new beneficiaries or changed instructions: callback verification performed and documented</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Treasury Analyst performs OFAC screening on the beneficiary</w:t>
      </w:r>
    </w:p>
    <w:p>
      <w:pPr>
        <w:spacing w:after="80"/>
        <w:ind w:left="720"/>
      </w:pPr>
      <w:r>
        <w:rPr>
          <w:rFonts w:ascii="Calibri" w:cs="Calibri" w:eastAsia="Calibri" w:hAnsi="Calibri"/>
          <w:b/>
          <w:bCs/>
          <w:color w:val="D4AF37"/>
          <w:sz w:val="22"/>
          <w:szCs w:val="22"/>
        </w:rPr>
        <w:t xml:space="preserve">5.  </w:t>
      </w:r>
      <w:r>
        <w:rPr>
          <w:rFonts w:ascii="Calibri" w:cs="Calibri" w:eastAsia="Calibri" w:hAnsi="Calibri"/>
          <w:color w:val="333333"/>
          <w:sz w:val="22"/>
          <w:szCs w:val="22"/>
        </w:rPr>
        <w:t xml:space="preserve">Treasury Analyst enters the wire in the banking platform</w:t>
      </w:r>
    </w:p>
    <w:p>
      <w:pPr>
        <w:spacing w:after="80"/>
        <w:ind w:left="720"/>
      </w:pPr>
      <w:r>
        <w:rPr>
          <w:rFonts w:ascii="Calibri" w:cs="Calibri" w:eastAsia="Calibri" w:hAnsi="Calibri"/>
          <w:b/>
          <w:bCs/>
          <w:color w:val="D4AF37"/>
          <w:sz w:val="22"/>
          <w:szCs w:val="22"/>
        </w:rPr>
        <w:t xml:space="preserve">6.  </w:t>
      </w:r>
      <w:r>
        <w:rPr>
          <w:rFonts w:ascii="Calibri" w:cs="Calibri" w:eastAsia="Calibri" w:hAnsi="Calibri"/>
          <w:color w:val="333333"/>
          <w:sz w:val="22"/>
          <w:szCs w:val="22"/>
        </w:rPr>
        <w:t xml:space="preserve">Second authorized signer reviews and approves the wire in the banking platform (per the authorization matrix)</w:t>
      </w:r>
    </w:p>
    <w:p>
      <w:pPr>
        <w:spacing w:after="80"/>
        <w:ind w:left="720"/>
      </w:pPr>
      <w:r>
        <w:rPr>
          <w:rFonts w:ascii="Calibri" w:cs="Calibri" w:eastAsia="Calibri" w:hAnsi="Calibri"/>
          <w:b/>
          <w:bCs/>
          <w:color w:val="D4AF37"/>
          <w:sz w:val="22"/>
          <w:szCs w:val="22"/>
        </w:rPr>
        <w:t xml:space="preserve">7.  </w:t>
      </w:r>
      <w:r>
        <w:rPr>
          <w:rFonts w:ascii="Calibri" w:cs="Calibri" w:eastAsia="Calibri" w:hAnsi="Calibri"/>
          <w:color w:val="333333"/>
          <w:sz w:val="22"/>
          <w:szCs w:val="22"/>
        </w:rPr>
        <w:t xml:space="preserve">Wire is released for processing</w:t>
      </w:r>
    </w:p>
    <w:p>
      <w:pPr>
        <w:spacing w:after="80"/>
        <w:ind w:left="720"/>
      </w:pPr>
      <w:r>
        <w:rPr>
          <w:rFonts w:ascii="Calibri" w:cs="Calibri" w:eastAsia="Calibri" w:hAnsi="Calibri"/>
          <w:b/>
          <w:bCs/>
          <w:color w:val="D4AF37"/>
          <w:sz w:val="22"/>
          <w:szCs w:val="22"/>
        </w:rPr>
        <w:t xml:space="preserve">8.  </w:t>
      </w:r>
      <w:r>
        <w:rPr>
          <w:rFonts w:ascii="Calibri" w:cs="Calibri" w:eastAsia="Calibri" w:hAnsi="Calibri"/>
          <w:color w:val="333333"/>
          <w:sz w:val="22"/>
          <w:szCs w:val="22"/>
        </w:rPr>
        <w:t xml:space="preserve">Treasury Analyst confirms execution and retains the bank confirmation</w:t>
      </w:r>
    </w:p>
    <w:p>
      <w:pPr>
        <w:spacing w:after="80"/>
        <w:ind w:left="720"/>
      </w:pPr>
      <w:r>
        <w:rPr>
          <w:rFonts w:ascii="Calibri" w:cs="Calibri" w:eastAsia="Calibri" w:hAnsi="Calibri"/>
          <w:b/>
          <w:bCs/>
          <w:color w:val="D4AF37"/>
          <w:sz w:val="22"/>
          <w:szCs w:val="22"/>
        </w:rPr>
        <w:t xml:space="preserve">9.  </w:t>
      </w:r>
      <w:r>
        <w:rPr>
          <w:rFonts w:ascii="Calibri" w:cs="Calibri" w:eastAsia="Calibri" w:hAnsi="Calibri"/>
          <w:color w:val="333333"/>
          <w:sz w:val="22"/>
          <w:szCs w:val="22"/>
        </w:rPr>
        <w:t xml:space="preserve">Wire is logged in the payment register with full audit trail</w:t>
      </w:r>
    </w:p>
    <w:p>
      <w:pPr>
        <w:pStyle w:val="Heading2"/>
        <w:spacing w:after="150" w:before="300"/>
      </w:pPr>
      <w:r>
        <w:rPr>
          <w:rFonts w:ascii="Georgia" w:cs="Georgia" w:eastAsia="Georgia" w:hAnsi="Georgia"/>
          <w:b/>
          <w:bCs/>
          <w:color w:val="333333"/>
          <w:sz w:val="26"/>
          <w:szCs w:val="26"/>
        </w:rPr>
        <w:t xml:space="preserve">5.2 ACH Payment Process</w:t>
      </w:r>
    </w:p>
    <w:p>
      <w:pPr>
        <w:spacing w:after="150" w:before="0"/>
        <w:jc w:val="both"/>
      </w:pPr>
      <w:r>
        <w:rPr>
          <w:rFonts w:ascii="Calibri" w:cs="Calibri" w:eastAsia="Calibri" w:hAnsi="Calibri"/>
          <w:color w:val="333333"/>
          <w:sz w:val="22"/>
          <w:szCs w:val="22"/>
        </w:rPr>
        <w:t xml:space="preserve">ACH payments follow a similar process with the following distinctions: ACH files are generated by the AP system and uploaded to the banking platform, the Treasurer reviews and approves the ACH batch before submission, individual ACH payments within the batch follow the authorization matrix, and ACH debit blocks/filters are maintained on all company accounts to prevent unauthorized debits.</w:t>
      </w:r>
    </w:p>
    <w:p>
      <w:pPr>
        <w:pStyle w:val="Heading2"/>
        <w:spacing w:after="150" w:before="300"/>
      </w:pPr>
      <w:r>
        <w:rPr>
          <w:rFonts w:ascii="Georgia" w:cs="Georgia" w:eastAsia="Georgia" w:hAnsi="Georgia"/>
          <w:b/>
          <w:bCs/>
          <w:color w:val="333333"/>
          <w:sz w:val="26"/>
          <w:szCs w:val="26"/>
        </w:rPr>
        <w:t xml:space="preserve">5.3 Payment Templates</w:t>
      </w:r>
    </w:p>
    <w:p>
      <w:pPr>
        <w:spacing w:after="150" w:before="0"/>
        <w:jc w:val="both"/>
      </w:pPr>
      <w:r>
        <w:rPr>
          <w:rFonts w:ascii="Calibri" w:cs="Calibri" w:eastAsia="Calibri" w:hAnsi="Calibri"/>
          <w:color w:val="333333"/>
          <w:sz w:val="22"/>
          <w:szCs w:val="22"/>
        </w:rPr>
        <w:t xml:space="preserve">To improve efficiency and reduce errors for recurring payments: payment templates may be created in the banking platform for frequently used beneficiaries, template creation requires: AP verification of payment details + Treasury Analyst setup + Treasurer approval, templates shall be reviewed [semi-annually] for accuracy and continued business need, and inactive templates (no payment in [6] months) shall be deactivated.</w:t>
      </w:r>
    </w:p>
    <w:p>
      <w:pPr>
        <w:pStyle w:val="Heading2"/>
        <w:spacing w:after="150" w:before="300"/>
      </w:pPr>
      <w:r>
        <w:rPr>
          <w:rFonts w:ascii="Georgia" w:cs="Georgia" w:eastAsia="Georgia" w:hAnsi="Georgia"/>
          <w:b/>
          <w:bCs/>
          <w:color w:val="333333"/>
          <w:sz w:val="26"/>
          <w:szCs w:val="26"/>
        </w:rPr>
        <w:t xml:space="preserve">5.4 International Payments</w:t>
      </w:r>
    </w:p>
    <w:p>
      <w:pPr>
        <w:spacing w:after="150" w:before="0"/>
        <w:jc w:val="both"/>
      </w:pPr>
      <w:r>
        <w:rPr>
          <w:rFonts w:ascii="Calibri" w:cs="Calibri" w:eastAsia="Calibri" w:hAnsi="Calibri"/>
          <w:color w:val="333333"/>
          <w:sz w:val="22"/>
          <w:szCs w:val="22"/>
        </w:rPr>
        <w:t xml:space="preserve">International wire transfers require additional controls: OFAC screening of the beneficiary, beneficiary bank, and intermediary bank, sanctions screening for restricted countries (comprehensive embargo list), currency conversion at competitive rates (obtain [2] quotes for transactions &gt; [$X]), proper tax withholding if applicable (IRC Section 1441/1442), and FBAR reporting for foreign bank accounts if applicable.</w:t>
      </w:r>
    </w:p>
    <w:p>
      <w:pPr>
        <w:pStyle w:val="Heading2"/>
        <w:spacing w:after="150" w:before="300"/>
      </w:pPr>
      <w:r>
        <w:rPr>
          <w:rFonts w:ascii="Georgia" w:cs="Georgia" w:eastAsia="Georgia" w:hAnsi="Georgia"/>
          <w:b/>
          <w:bCs/>
          <w:color w:val="333333"/>
          <w:sz w:val="26"/>
          <w:szCs w:val="26"/>
        </w:rPr>
        <w:t xml:space="preserve">5.5 Emergency Payments</w:t>
      </w:r>
    </w:p>
    <w:p>
      <w:pPr>
        <w:spacing w:after="150" w:before="0"/>
        <w:jc w:val="both"/>
      </w:pPr>
      <w:r>
        <w:rPr>
          <w:rFonts w:ascii="Calibri" w:cs="Calibri" w:eastAsia="Calibri" w:hAnsi="Calibri"/>
          <w:color w:val="333333"/>
          <w:sz w:val="22"/>
          <w:szCs w:val="22"/>
        </w:rPr>
        <w:t xml:space="preserve">Payments required outside of normal business hours or normal process: verbal authorization from the CFO (or Treasurer for amounts within their authority), documented within [24] hours with full supporting documentation, processed by an authorized individual with banking platform access, and reviewed by Internal Audit if emergency payments exceed [X] per quarter.</w:t>
      </w:r>
    </w:p>
    <w:p>
      <w:pPr>
        <w:pStyle w:val="Heading2"/>
        <w:spacing w:after="150" w:before="300"/>
      </w:pPr>
      <w:r>
        <w:rPr>
          <w:rFonts w:ascii="Georgia" w:cs="Georgia" w:eastAsia="Georgia" w:hAnsi="Georgia"/>
          <w:b/>
          <w:bCs/>
          <w:color w:val="333333"/>
          <w:sz w:val="26"/>
          <w:szCs w:val="26"/>
        </w:rPr>
        <w:t xml:space="preserve">5.6 Monitoring and Reconciliation</w:t>
      </w:r>
    </w:p>
    <w:p>
      <w:pPr>
        <w:spacing w:after="150" w:before="0"/>
        <w:jc w:val="both"/>
      </w:pPr>
      <w:r>
        <w:rPr>
          <w:rFonts w:ascii="Calibri" w:cs="Calibri" w:eastAsia="Calibri" w:hAnsi="Calibri"/>
          <w:color w:val="333333"/>
          <w:sz w:val="22"/>
          <w:szCs w:val="22"/>
        </w:rPr>
        <w:t xml:space="preserve">Daily: Treasury Analyst reconciles wire and ACH activity to the payment register. Weekly: Treasurer reviews all payments &gt; [$X] for proper authorization. Monthly: Controller reviews payment activity for unusual patterns (new beneficiaries, high-frequency, round amounts, weekend/holiday payments). Quarterly: Internal Audit tests a sample of wire transfers for compliance with this policy.</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6. Approval Authorities &amp; Thresholds</w:t>
      </w:r>
    </w:p>
    <w:p>
      <w:pPr>
        <w:spacing w:after="150" w:before="0"/>
        <w:jc w:val="both"/>
      </w:pPr>
      <w:r>
        <w:rPr>
          <w:rFonts w:ascii="Calibri" w:cs="Calibri" w:eastAsia="Calibri" w:hAnsi="Calibri"/>
          <w:color w:val="333333"/>
          <w:sz w:val="22"/>
          <w:szCs w:val="22"/>
        </w:rPr>
        <w:t xml:space="preserve">See Section 3.1 for the detailed authorization matrix. Additional authorities: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Payment Decision</w:t>
            </w:r>
          </w:p>
        </w:tc>
        <w:tc>
          <w:tcPr>
            <w:tcW w:type="dxa" w:w="2400"/>
            <w:shd w:fill="0C0C0C" w:val="clear"/>
          </w:tcPr>
          <w:p>
            <w:pPr>
              <w:spacing w:after="60" w:before="60"/>
            </w:pPr>
            <w:r>
              <w:rPr>
                <w:rFonts w:ascii="Calibri" w:cs="Calibri" w:eastAsia="Calibri" w:hAnsi="Calibri"/>
                <w:b/>
                <w:bCs/>
                <w:color w:val="D4AF37"/>
                <w:sz w:val="20"/>
                <w:szCs w:val="20"/>
              </w:rPr>
              <w:t xml:space="preserve">Threshold</w:t>
            </w:r>
          </w:p>
        </w:tc>
        <w:tc>
          <w:tcPr>
            <w:tcW w:type="dxa" w:w="4560"/>
            <w:shd w:fill="0C0C0C" w:val="clear"/>
          </w:tcPr>
          <w:p>
            <w:pPr>
              <w:spacing w:after="60" w:before="60"/>
            </w:pPr>
            <w:r>
              <w:rPr>
                <w:rFonts w:ascii="Calibri" w:cs="Calibri" w:eastAsia="Calibri" w:hAnsi="Calibri"/>
                <w:b/>
                <w:bCs/>
                <w:color w:val="D4AF37"/>
                <w:sz w:val="20"/>
                <w:szCs w:val="20"/>
              </w:rPr>
              <w:t xml:space="preserve">Approver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New payment template creation</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AP verification + Treasurer</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Payment instruction change in vendor master</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Dual approval + callback verification</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Emergency payment (after hours)</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CFO verbal approval + 24-hour documentation</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Payment to a personal account</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CFO written approval with justification</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Banking platform access provisioning</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Treasurer + CISO</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Banking platform access revocation</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 terminations</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Treasurer (same-day)</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7. Exceptions &amp; Escalation</w:t>
      </w:r>
    </w:p>
    <w:p>
      <w:pPr>
        <w:spacing w:after="150" w:before="0"/>
        <w:jc w:val="both"/>
      </w:pPr>
      <w:r>
        <w:rPr>
          <w:rFonts w:ascii="Calibri" w:cs="Calibri" w:eastAsia="Calibri" w:hAnsi="Calibri"/>
          <w:color w:val="333333"/>
          <w:sz w:val="22"/>
          <w:szCs w:val="22"/>
        </w:rPr>
        <w:t xml:space="preserve">Payments that bypass any control in this policy shall be immediately reported to the Controller and CISO. The Controller shall evaluate whether the bypassed control is a SOX key control and assess the deficiency severity. Suspected unauthorized or fraudulent payments shall trigger: immediate contact with the bank to recall the payment, CISO notification for forensic investigation, Legal notification for potential law enforcement referral, and CFO and Audit Committee notification.</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8. Compliance Monitoring &amp; Testing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Daily wire and ACH reconciliation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Weekly high-value payment review by Treasurer</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Monthly unusual payment pattern analysis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authorization compliance testing by Internal Audit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Semi-annual payment template review</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banking platform access recertification</w:t>
      </w:r>
    </w:p>
    <w:p>
      <w:pPr>
        <w:pStyle w:val="Heading2"/>
        <w:spacing w:after="150" w:before="300"/>
      </w:pPr>
      <w:r>
        <w:rPr>
          <w:rFonts w:ascii="Georgia" w:cs="Georgia" w:eastAsia="Georgia" w:hAnsi="Georgia"/>
          <w:b/>
          <w:bCs/>
          <w:color w:val="333333"/>
          <w:sz w:val="26"/>
          <w:szCs w:val="26"/>
        </w:rPr>
        <w:t xml:space="preserve">8.1 Key Metrics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Metric</w:t>
            </w:r>
          </w:p>
        </w:tc>
        <w:tc>
          <w:tcPr>
            <w:tcW w:type="dxa" w:w="6160"/>
            <w:shd w:fill="0C0C0C" w:val="clear"/>
          </w:tcPr>
          <w:p>
            <w:pPr>
              <w:spacing w:after="60" w:before="60"/>
            </w:pPr>
            <w:r>
              <w:rPr>
                <w:rFonts w:ascii="Calibri" w:cs="Calibri" w:eastAsia="Calibri" w:hAnsi="Calibri"/>
                <w:b/>
                <w:bCs/>
                <w:color w:val="D4AF37"/>
                <w:sz w:val="20"/>
                <w:szCs w:val="20"/>
              </w:rPr>
              <w:t xml:space="preserve">Target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Dual authorization compliance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100%</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OFAC screening completion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100% of international payments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Callback verification for payment changes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100%</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Unauthorized payment losses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$0</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Emergency payments per quarter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&lt; [5] (trending toward zero)</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Banking platform access revocation on termination day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100%</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9. Related Policies &amp; References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Accounts Payable &amp; Disbursement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Cybersecurity (Finance)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Cash &amp; Treasury Management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Vendor Management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Financial Delegation of Authority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OFAC regulations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BSA/AML requirements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UCC Article 4A (Funds Transfers)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10. Appendices</w:t>
      </w:r>
    </w:p>
    <w:p>
      <w:pPr>
        <w:pStyle w:val="Heading2"/>
        <w:spacing w:after="150" w:before="300"/>
      </w:pPr>
      <w:r>
        <w:rPr>
          <w:rFonts w:ascii="Georgia" w:cs="Georgia" w:eastAsia="Georgia" w:hAnsi="Georgia"/>
          <w:b/>
          <w:bCs/>
          <w:color w:val="333333"/>
          <w:sz w:val="26"/>
          <w:szCs w:val="26"/>
        </w:rPr>
        <w:t xml:space="preserve">Appendix A — Wire Request Form</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Field</w:t>
            </w:r>
          </w:p>
        </w:tc>
        <w:tc>
          <w:tcPr>
            <w:tcW w:type="dxa" w:w="61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Requestor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Name, department, date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Beneficiary name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Legal name of the recipient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Beneficiary bank</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Bank name, SWIFT/ABA routing number</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Account number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Beneficiary account number</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Amount and currency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Payment amount</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Purpose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Invoice number or business justification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Value date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Requested payment date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New or existing beneficiary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Template reference or new setup required</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Callback verification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Completed? Yes/No — verified by whom, phone number used, date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Approvals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Per authorization matrix</w:t>
            </w:r>
          </w:p>
        </w:tc>
      </w:tr>
    </w:tbl>
    <w:p>
      <w:pPr>
        <w:pStyle w:val="Heading2"/>
        <w:spacing w:after="150" w:before="300"/>
      </w:pPr>
      <w:r>
        <w:rPr>
          <w:rFonts w:ascii="Georgia" w:cs="Georgia" w:eastAsia="Georgia" w:hAnsi="Georgia"/>
          <w:b/>
          <w:bCs/>
          <w:color w:val="333333"/>
          <w:sz w:val="26"/>
          <w:szCs w:val="26"/>
        </w:rPr>
        <w:t xml:space="preserve">Appendix B — Authorized Signers List</w:t>
      </w:r>
    </w:p>
    <w:p>
      <w:pPr>
        <w:spacing w:after="150" w:before="0"/>
        <w:jc w:val="both"/>
      </w:pPr>
      <w:r>
        <w:rPr>
          <w:rFonts w:ascii="Calibri" w:cs="Calibri" w:eastAsia="Calibri" w:hAnsi="Calibri"/>
          <w:color w:val="333333"/>
          <w:sz w:val="22"/>
          <w:szCs w:val="22"/>
        </w:rPr>
        <w:t xml:space="preserve">Treasury maintains the authorized signers list specifying each individual's: name and title, banking platform access level, single-transaction authorization limit, and whether they may serve as initiator, approver, or both (never both for the same transaction). Updated within [24] hours of personnel changes.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Revision History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Version</w:t>
            </w:r>
          </w:p>
        </w:tc>
        <w:tc>
          <w:tcPr>
            <w:tcW w:type="dxa" w:w="2400"/>
            <w:shd w:fill="0C0C0C" w:val="clear"/>
          </w:tcPr>
          <w:p>
            <w:pPr>
              <w:spacing w:after="60" w:before="60"/>
            </w:pPr>
            <w:r>
              <w:rPr>
                <w:rFonts w:ascii="Calibri" w:cs="Calibri" w:eastAsia="Calibri" w:hAnsi="Calibri"/>
                <w:b/>
                <w:bCs/>
                <w:color w:val="D4AF37"/>
                <w:sz w:val="20"/>
                <w:szCs w:val="20"/>
              </w:rPr>
              <w:t xml:space="preserve">Date</w:t>
            </w:r>
          </w:p>
        </w:tc>
        <w:tc>
          <w:tcPr>
            <w:tcW w:type="dxa" w:w="45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1.0</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[Effective Date]</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Initial policy document</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bl>
    <w:p>
      <w:pPr>
        <w:spacing w:after="150" w:before="0"/>
        <w:jc w:val="both"/>
      </w:pPr>
      <w:r>
        <w:rPr>
          <w:rFonts w:ascii="Calibri" w:cs="Calibri" w:eastAsia="Calibri" w:hAnsi="Calibri"/>
          <w:color w:val="333333"/>
          <w:sz w:val="22"/>
          <w:szCs w:val="22"/>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Name / Signature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Prepared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Reviewed By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Approved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[CFO Name], Chief Financial Officer</w:t>
            </w:r>
          </w:p>
        </w:tc>
      </w:tr>
    </w:tbl>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2A2A" w:sz="2"/>
      </w:pBdr>
      <w:spacing w:before="100"/>
      <w:jc w:val="center"/>
    </w:pPr>
    <w:r>
      <w:rPr>
        <w:rFonts w:ascii="Calibri" w:cs="Calibri" w:eastAsia="Calibri" w:hAnsi="Calibri"/>
        <w:color w:val="9CA3AF"/>
        <w:sz w:val="16"/>
        <w:szCs w:val="16"/>
      </w:rPr>
      <w:t xml:space="preserve">Confidential — [Company Name]  |  Page </w:t>
    </w:r>
    <w:r>
      <w:rPr>
        <w:rFonts w:ascii="Calibri" w:cs="Calibri" w:eastAsia="Calibri" w:hAnsi="Calibri"/>
        <w:color w:val="9CA3AF"/>
        <w:sz w:val="16"/>
        <w:szCs w:val="16"/>
      </w:rPr>
      <w:fldChar w:fldCharType="begin"/>
      <w:instrText xml:space="preserve">PAGE</w:instrText>
      <w:fldChar w:fldCharType="separate"/>
      <w:fldChar w:fldCharType="end"/>
    </w:r>
    <w:r>
      <w:rPr>
        <w:rFonts w:ascii="Calibri" w:cs="Calibri" w:eastAsia="Calibri" w:hAnsi="Calibri"/>
        <w:color w:val="9CA3AF"/>
        <w:sz w:val="16"/>
        <w:szCs w:val="16"/>
      </w:rPr>
      <w:t xml:space="preserve"> of </w:t>
    </w:r>
    <w:r>
      <w:rPr>
        <w:rFonts w:ascii="Calibri" w:cs="Calibri" w:eastAsia="Calibri" w:hAnsi="Calibri"/>
        <w:color w:val="9CA3AF"/>
        <w:sz w:val="16"/>
        <w:szCs w:val="16"/>
      </w:rPr>
      <w:fldChar w:fldCharType="begin"/>
      <w:instrText xml:space="preserve">NUMPAGES</w:instrText>
      <w:fldChar w:fldCharType="separate"/>
      <w:fldChar w:fldCharType="end"/>
    </w:r>
    <w:r>
      <w:rPr>
        <w:rFonts w:ascii="Calibri" w:cs="Calibri" w:eastAsia="Calibri" w:hAnsi="Calibri"/>
        <w:color w:val="D4AF37"/>
        <w:sz w:val="16"/>
        <w:szCs w:val="16"/>
      </w:rPr>
      <w:t xml:space="preserve">  |  EFuturesCFO.com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9CA3AF"/>
        <w:sz w:val="16"/>
        <w:szCs w:val="16"/>
      </w:rPr>
      <w:t xml:space="preserve">[Company Name]</w:t>
    </w:r>
    <w:r>
      <w:rPr>
        <w:rFonts w:ascii="Calibri" w:cs="Calibri" w:eastAsia="Calibri" w:hAnsi="Calibri"/>
        <w:color w:val="9CA3AF"/>
        <w:sz w:val="16"/>
        <w:szCs w:val="16"/>
      </w:rPr>
      <w:t xml:space="preserve">  |  </w:t>
    </w:r>
    <w:r>
      <w:rPr>
        <w:rFonts w:ascii="Calibri" w:cs="Calibri" w:eastAsia="Calibri" w:hAnsi="Calibri"/>
        <w:i/>
        <w:iCs/>
        <w:color w:val="9CA3AF"/>
        <w:sz w:val="16"/>
        <w:szCs w:val="16"/>
      </w:rPr>
      <w:t xml:space="preserve">Wire Transfer &amp; Electronic Payment Policy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Georgia" w:cs="Georgia" w:eastAsia="Georgia" w:hAnsi="Georgia"/>
      <w:b/>
      <w:bCs/>
      <w:color w:val="0C0C0C"/>
      <w:sz w:val="32"/>
      <w:szCs w:val="32"/>
    </w:rPr>
  </w:style>
  <w:style w:type="paragraph" w:styleId="Heading2">
    <w:name w:val="Heading 2"/>
    <w:basedOn w:val="Normal"/>
    <w:next w:val="Normal"/>
    <w:qFormat/>
    <w:rPr>
      <w:rFonts w:ascii="Georgia" w:cs="Georgia" w:eastAsia="Georgia" w:hAnsi="Georgia"/>
      <w:b/>
      <w:bCs/>
      <w:color w:val="333333"/>
      <w:sz w:val="26"/>
      <w:szCs w:val="26"/>
    </w:rPr>
  </w:style>
  <w:style w:type="paragraph" w:styleId="Heading3">
    <w:name w:val="Heading 3"/>
    <w:basedOn w:val="Normal"/>
    <w:next w:val="Normal"/>
    <w:qFormat/>
    <w:rPr>
      <w:rFonts w:ascii="Georgia" w:cs="Georgia" w:eastAsia="Georgia" w:hAnsi="Georgia"/>
      <w:b/>
      <w:bCs/>
      <w:color w:val="444444"/>
      <w:sz w:val="22"/>
      <w:szCs w:val="22"/>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2026-07-13T16:59:24.299Z</dcterms:created>
  <dcterms:modified xsi:type="dcterms:W3CDTF">2026-07-13T16:59:24.299Z</dcterms:modified>
</cp:coreProperties>
</file>

<file path=docProps/custom.xml><?xml version="1.0" encoding="utf-8"?>
<Properties xmlns="http://schemas.openxmlformats.org/officeDocument/2006/custom-properties" xmlns:vt="http://schemas.openxmlformats.org/officeDocument/2006/docPropsVTypes"/>
</file>