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Pension &amp; Post-Retirement Benefits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Pension and Post-Retirement Benefits Policy establishes the standards, procedures, and controls governing [Company Name]'s defined benefit pension plans, defined contribution plans, and other post-retirement benefit obligations (OPEB). The policy ensures compliance with ASC 715 (Compensation — Retirement Benefits), ERISA, and DOL/IRS regulatory requirements.</w:t>
      </w:r>
    </w:p>
    <w:p>
      <w:pPr>
        <w:spacing w:after="150" w:before="0"/>
        <w:jc w:val="both"/>
      </w:pPr>
      <w:r>
        <w:rPr>
          <w:rFonts w:ascii="Calibri" w:cs="Calibri" w:eastAsia="Calibri" w:hAnsi="Calibri"/>
          <w:color w:val="333333"/>
          <w:sz w:val="22"/>
          <w:szCs w:val="22"/>
        </w:rPr>
        <w:t xml:space="preserve">This policy applies to all retirement benefit programs sponsored by [Company Name] including: defined benefit pension plans, defined contribution plans (401(k), 403(b)), supplemental executive retirement plans (SERPs), and other post-retirement benefits (retiree medical, life insurance).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accounting for defined benefit obligations per ASC 715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ERISA fiduciary requirements for plan governance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adequate plan funding within regulatory and plan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Govern actuarial assumption selection with appropriate oversight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pension and OPEB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the financial statement impact of benefit plan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Defined Benefit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retirement plan where [Company Name] promises a specified monthly benefit at retirement, calculated using a formula based on salary history and years of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Defined Contribution Plan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retirement plan where [Company Name] makes specified contributions to individual participant accounts (e.g., 401(k) match); the benefit depends on investment performance.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Projected Benefit Obligation (PBO)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actuarial present value of all benefits attributed to employee service to date, including projected salary increases.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Plan Assets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Assets set aside in a trust to fund pension benefit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Funded Status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Plan assets minus PBO; a surplus if assets exceed PBO, a deficit if PBO exceeds assets. Reported on the balance sheet.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Periodic Benefit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pension expense recognized in the income statement: service cost + interest cost - expected return on assets + amortization of prior service cost and actuarial losses.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Actuarial Gain/Loss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Changes in the PBO or plan asset value resulting from experience different from assumptions, or changes in assumptions themselves.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Discount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rate used to calculate the present value of future benefit payments; based on high-quality corporate bond yields.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Expected Return on Plan Assets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long-term rate of return expected to be earned on plan assets; used to calculate a component of pension cost.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ERISA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Employee Retirement Income Security Act — the federal law governing private-sector employee benefit plans.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Plan Governance</w:t>
      </w:r>
    </w:p>
    <w:p>
      <w:pPr>
        <w:spacing w:after="150" w:before="0"/>
        <w:jc w:val="both"/>
      </w:pPr>
      <w:r>
        <w:rPr>
          <w:rFonts w:ascii="Calibri" w:cs="Calibri" w:eastAsia="Calibri" w:hAnsi="Calibri"/>
          <w:color w:val="333333"/>
          <w:sz w:val="22"/>
          <w:szCs w:val="22"/>
        </w:rPr>
        <w:t xml:space="preserve">The Retirement Plan Committee (or Board-designated fiduciary body) shall oversee all defined benefit and defined contribution plans. The Committee shall: meet at least [quarterly], review plan performance and funded status, approve actuarial assumptions, oversee investment strategy and manager selection, ensure fiduciary compliance with ERISA, and review plan administration for compliance with plan documents and regulations.</w:t>
      </w:r>
    </w:p>
    <w:p>
      <w:pPr>
        <w:pStyle w:val="Heading2"/>
        <w:spacing w:after="150" w:before="300"/>
      </w:pPr>
      <w:r>
        <w:rPr>
          <w:rFonts w:ascii="Georgia" w:cs="Georgia" w:eastAsia="Georgia" w:hAnsi="Georgia"/>
          <w:b/>
          <w:bCs/>
          <w:color w:val="333333"/>
          <w:sz w:val="26"/>
          <w:szCs w:val="26"/>
        </w:rPr>
        <w:t xml:space="preserve">3.2 Actuarial Assumption Governance</w:t>
      </w:r>
    </w:p>
    <w:p>
      <w:pPr>
        <w:spacing w:after="150" w:before="0"/>
        <w:jc w:val="both"/>
      </w:pPr>
      <w:r>
        <w:rPr>
          <w:rFonts w:ascii="Calibri" w:cs="Calibri" w:eastAsia="Calibri" w:hAnsi="Calibri"/>
          <w:color w:val="333333"/>
          <w:sz w:val="22"/>
          <w:szCs w:val="22"/>
        </w:rPr>
        <w:t xml:space="preserve">Key actuarial assumptions shall be reviewed annually by the CFO and Controller with input from the plan actuary: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Assumption</w:t>
            </w:r>
          </w:p>
        </w:tc>
        <w:tc>
          <w:tcPr>
            <w:tcW w:type="dxa" w:w="6160"/>
            <w:shd w:fill="0C0C0C" w:val="clear"/>
          </w:tcPr>
          <w:p>
            <w:pPr>
              <w:spacing w:after="60" w:before="60"/>
            </w:pPr>
            <w:r>
              <w:rPr>
                <w:rFonts w:ascii="Calibri" w:cs="Calibri" w:eastAsia="Calibri" w:hAnsi="Calibri"/>
                <w:b/>
                <w:bCs/>
                <w:color w:val="D4AF37"/>
                <w:sz w:val="20"/>
                <w:szCs w:val="20"/>
              </w:rPr>
              <w:t xml:space="preserve">Governance Standard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Discount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Based on high-quality corporate bond yields matching the plan's duration. Determined using a yield curve or bond matching approach.</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return on plan assets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Long-term expected return reflecting the plan's asset allocation. Not inflated to reduce pension cost.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Rate of compensation increase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Based on [Company Name]'s compensation philosophy and historical experience.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Mortality table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Most current generally accepted mortality table (e.g., Pri-2012 with MP projection scales).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Turnover and retirement rates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Based on [Company Name]-specific experience or industry tables if insufficient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Healthcare cost trend rate (OPEB)</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Based on current rates grading down to an ultimate rate over a reasonable period.</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Assumptions shall be documented with the rationale for selection and reviewed with the external auditor annually.</w:t>
      </w:r>
    </w:p>
    <w:p>
      <w:pPr>
        <w:pStyle w:val="Heading2"/>
        <w:spacing w:after="150" w:before="300"/>
      </w:pPr>
      <w:r>
        <w:rPr>
          <w:rFonts w:ascii="Georgia" w:cs="Georgia" w:eastAsia="Georgia" w:hAnsi="Georgia"/>
          <w:b/>
          <w:bCs/>
          <w:color w:val="333333"/>
          <w:sz w:val="26"/>
          <w:szCs w:val="26"/>
        </w:rPr>
        <w:t xml:space="preserve">3.3 Funding Policy</w:t>
      </w:r>
    </w:p>
    <w:p>
      <w:pPr>
        <w:spacing w:after="150" w:before="0"/>
        <w:jc w:val="both"/>
      </w:pPr>
      <w:r>
        <w:rPr>
          <w:rFonts w:ascii="Calibri" w:cs="Calibri" w:eastAsia="Calibri" w:hAnsi="Calibri"/>
          <w:color w:val="333333"/>
          <w:sz w:val="22"/>
          <w:szCs w:val="22"/>
        </w:rPr>
        <w:t xml:space="preserve">[Company Name] shall fund defined benefit plans to: meet minimum funding requirements under ERISA (IRC Section 430), maintain a target funded status of [X%] to manage PBGC premium costs and avoid benefit restrictions, consider accelerated funding when tax deductibility is advantageous, and avoid funding volatility through a consistent contribution strategy.</w:t>
      </w:r>
    </w:p>
    <w:p>
      <w:pPr>
        <w:pStyle w:val="Heading2"/>
        <w:spacing w:after="150" w:before="300"/>
      </w:pPr>
      <w:r>
        <w:rPr>
          <w:rFonts w:ascii="Georgia" w:cs="Georgia" w:eastAsia="Georgia" w:hAnsi="Georgia"/>
          <w:b/>
          <w:bCs/>
          <w:color w:val="333333"/>
          <w:sz w:val="26"/>
          <w:szCs w:val="26"/>
        </w:rPr>
        <w:t xml:space="preserve">3.4 Defined Contribution Plan Governance</w:t>
      </w:r>
    </w:p>
    <w:p>
      <w:pPr>
        <w:spacing w:after="150" w:before="0"/>
        <w:jc w:val="both"/>
      </w:pPr>
      <w:r>
        <w:rPr>
          <w:rFonts w:ascii="Calibri" w:cs="Calibri" w:eastAsia="Calibri" w:hAnsi="Calibri"/>
          <w:color w:val="333333"/>
          <w:sz w:val="22"/>
          <w:szCs w:val="22"/>
        </w:rPr>
        <w:t xml:space="preserve">[Company Name]'s defined contribution plan shall be managed with: a competitive matching formula ([X%] of salary matched at [X%]), a diversified investment menu meeting ERISA Section 404(c) requirements, qualified default investment alternative (QDIA) for participants who do not make elections, automatic enrollment at [X%] deferral rate with annual auto-escalation, and regular fee benchmarking to ensure plan costs are reasonable.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Retirement Plan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Fiduciary oversight of all retirement plans. Approves assumptions, investment policy, and plan changes.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pension cost and funded status impact on financial statements. Approves funding decisions. Reports to the Board.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Records pension and OPEB accounting entries per ASC 715. Reviews actuarial reports. Prepares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 / Benefits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Administers plan operations. Manages enrollment and distributions. Coordinates with the plan recordkeeper.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Plan Actuary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Performs the annual actuarial valuation. Recommends assumptions. Calculates pension cost and funded status.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Investment Advisor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plan asset investment per the investment policy. Reports performance to the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Plan Trustee / Custodian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Holds plan assets. Processes benefit payments. Provides asset 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Plan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Audits the plan financial statements (Form 5500 audit for plans with 100+ participants).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 / ERISA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plan document compliance. Reviews plan amendments. Manages DOL and IRS submissions.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Actuarial Valuation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Controller provides census data (participants, salaries, service, demographics) to the actuary by [date]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CFO and Controller select actuarial assumptions (with actuary recommendation)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Actuary performs the valuation: PBO, plan assets, funded status, net periodic benefit cost, and AOCI components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Actuary provides the ASC 715 disclosure schedules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reviews the valuation report for reasonableness and consistency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Controller records pension entries: service cost (operating expense), other components (below the line or in other income/expense), and funded status adjustment through OCI</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External auditor reviews the actuarial report and assumptions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Disclosures prepared for the 10-K</w:t>
      </w:r>
    </w:p>
    <w:p>
      <w:pPr>
        <w:pStyle w:val="Heading2"/>
        <w:spacing w:after="150" w:before="300"/>
      </w:pPr>
      <w:r>
        <w:rPr>
          <w:rFonts w:ascii="Georgia" w:cs="Georgia" w:eastAsia="Georgia" w:hAnsi="Georgia"/>
          <w:b/>
          <w:bCs/>
          <w:color w:val="333333"/>
          <w:sz w:val="26"/>
          <w:szCs w:val="26"/>
        </w:rPr>
        <w:t xml:space="preserve">5.2 Quarterly Pension Cost Estimation</w:t>
      </w:r>
    </w:p>
    <w:p>
      <w:pPr>
        <w:spacing w:after="150" w:before="0"/>
        <w:jc w:val="both"/>
      </w:pPr>
      <w:r>
        <w:rPr>
          <w:rFonts w:ascii="Calibri" w:cs="Calibri" w:eastAsia="Calibri" w:hAnsi="Calibri"/>
          <w:color w:val="333333"/>
          <w:sz w:val="22"/>
          <w:szCs w:val="22"/>
        </w:rPr>
        <w:t xml:space="preserve">Pension cost is typically determined annually and recognized evenly over the four quarters. The Controller shall: record one-quarter of the annual net periodic benefit cost each quarter, evaluate whether interim remeasurement is required (significant plan event: curtailment, settlement, amendment), and adjust for any interim events that trigger remeasurement.</w:t>
      </w:r>
    </w:p>
    <w:p>
      <w:pPr>
        <w:pStyle w:val="Heading2"/>
        <w:spacing w:after="150" w:before="300"/>
      </w:pPr>
      <w:r>
        <w:rPr>
          <w:rFonts w:ascii="Georgia" w:cs="Georgia" w:eastAsia="Georgia" w:hAnsi="Georgia"/>
          <w:b/>
          <w:bCs/>
          <w:color w:val="333333"/>
          <w:sz w:val="26"/>
          <w:szCs w:val="26"/>
        </w:rPr>
        <w:t xml:space="preserve">5.3 Funded Status Monitoring</w:t>
      </w:r>
    </w:p>
    <w:p>
      <w:pPr>
        <w:spacing w:after="150" w:before="0"/>
        <w:jc w:val="both"/>
      </w:pPr>
      <w:r>
        <w:rPr>
          <w:rFonts w:ascii="Calibri" w:cs="Calibri" w:eastAsia="Calibri" w:hAnsi="Calibri"/>
          <w:color w:val="333333"/>
          <w:sz w:val="22"/>
          <w:szCs w:val="22"/>
        </w:rPr>
        <w:t xml:space="preserve">The CFO shall monitor funded status quarterly based on: estimated plan asset values (provided by the trustee/custodian), estimated PBO changes (interest cost accrual, benefit payments, estimated actuarial adjustments), and the resulting estimated funded status. If estimated funded status falls below [X%], the CFO shall evaluate whether an accelerated contribution is warranted. Formal funded status is determined annually through the actuarial valuation.</w:t>
      </w:r>
    </w:p>
    <w:p>
      <w:pPr>
        <w:pStyle w:val="Heading2"/>
        <w:spacing w:after="150" w:before="300"/>
      </w:pPr>
      <w:r>
        <w:rPr>
          <w:rFonts w:ascii="Georgia" w:cs="Georgia" w:eastAsia="Georgia" w:hAnsi="Georgia"/>
          <w:b/>
          <w:bCs/>
          <w:color w:val="333333"/>
          <w:sz w:val="26"/>
          <w:szCs w:val="26"/>
        </w:rPr>
        <w:t xml:space="preserve">5.4 Plan Administration</w:t>
      </w:r>
    </w:p>
    <w:p>
      <w:pPr>
        <w:pStyle w:val="Heading3"/>
        <w:spacing w:after="100" w:before="200"/>
      </w:pPr>
      <w:r>
        <w:rPr>
          <w:rFonts w:ascii="Georgia" w:cs="Georgia" w:eastAsia="Georgia" w:hAnsi="Georgia"/>
          <w:b/>
          <w:bCs/>
          <w:color w:val="444444"/>
          <w:sz w:val="22"/>
          <w:szCs w:val="22"/>
        </w:rPr>
        <w:t xml:space="preserve">5.4.1 Benefit Payments</w:t>
      </w:r>
    </w:p>
    <w:p>
      <w:pPr>
        <w:spacing w:after="150" w:before="0"/>
        <w:jc w:val="both"/>
      </w:pPr>
      <w:r>
        <w:rPr>
          <w:rFonts w:ascii="Calibri" w:cs="Calibri" w:eastAsia="Calibri" w:hAnsi="Calibri"/>
          <w:color w:val="333333"/>
          <w:sz w:val="22"/>
          <w:szCs w:val="22"/>
        </w:rPr>
        <w:t xml:space="preserve">Benefit payments shall be processed by the plan trustee per the plan document terms. The Controller shall verify that benefit payments reduce the PBO and plan assets appropriately. Large lump-sum distributions may trigger settlement accounting under ASC 715 if they exceed the sum of service cost and interest cost.</w:t>
      </w:r>
    </w:p>
    <w:p>
      <w:pPr>
        <w:pStyle w:val="Heading3"/>
        <w:spacing w:after="100" w:before="200"/>
      </w:pPr>
      <w:r>
        <w:rPr>
          <w:rFonts w:ascii="Georgia" w:cs="Georgia" w:eastAsia="Georgia" w:hAnsi="Georgia"/>
          <w:b/>
          <w:bCs/>
          <w:color w:val="444444"/>
          <w:sz w:val="22"/>
          <w:szCs w:val="22"/>
        </w:rPr>
        <w:t xml:space="preserve">5.4.2 Form 5500 Filing</w:t>
      </w:r>
    </w:p>
    <w:p>
      <w:pPr>
        <w:spacing w:after="150" w:before="0"/>
        <w:jc w:val="both"/>
      </w:pPr>
      <w:r>
        <w:rPr>
          <w:rFonts w:ascii="Calibri" w:cs="Calibri" w:eastAsia="Calibri" w:hAnsi="Calibri"/>
          <w:color w:val="333333"/>
          <w:sz w:val="22"/>
          <w:szCs w:val="22"/>
        </w:rPr>
        <w:t xml:space="preserve">The annual Form 5500 shall be filed with the DOL by the last day of the [7th] month after the plan year-end (with extension). The filing requires: an actuarial certification (Schedule SB for defined benefit plans), audited plan financial statements (for plans with 100+ participants), and summary annual report distributed to participants.</w:t>
      </w:r>
    </w:p>
    <w:p>
      <w:pPr>
        <w:pStyle w:val="Heading2"/>
        <w:spacing w:after="150" w:before="300"/>
      </w:pPr>
      <w:r>
        <w:rPr>
          <w:rFonts w:ascii="Georgia" w:cs="Georgia" w:eastAsia="Georgia" w:hAnsi="Georgia"/>
          <w:b/>
          <w:bCs/>
          <w:color w:val="333333"/>
          <w:sz w:val="26"/>
          <w:szCs w:val="26"/>
        </w:rPr>
        <w:t xml:space="preserve">5.5 Plan Changes</w:t>
      </w:r>
    </w:p>
    <w:p>
      <w:pPr>
        <w:spacing w:after="150" w:before="0"/>
        <w:jc w:val="both"/>
      </w:pPr>
      <w:r>
        <w:rPr>
          <w:rFonts w:ascii="Calibri" w:cs="Calibri" w:eastAsia="Calibri" w:hAnsi="Calibri"/>
          <w:color w:val="333333"/>
          <w:sz w:val="22"/>
          <w:szCs w:val="22"/>
        </w:rPr>
        <w:t xml:space="preserve">Plan amendments (benefit changes, freeze, termination) require: Board or Committee approval, actuarial analysis of the cost/savings impact, legal review for ERISA compliance, employee communication per ERISA requirements, and Controller assessment of the accounting impact (prior service cost, curtailment gain/loss).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Pension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Actuarial assumption selection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Controller +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Annual contribution amount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Accelerated/voluntary contribution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Plan amendment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Committee + Board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Plan freeze or 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Investment policy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Investment manager selection/termination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Form 5500 filing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HR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Settlement/curtailment accounting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Events requiring immediate attention: funded status falling below ERISA minimum funding thresholds (benefit restriction triggers), PBGC notification requirements (reportable events), plan operational failures (late deposits, incorrect benefit calculations — may require DOL correction program), and significant actuarial losses that could materially affect financial statements. Any of these events shall be escalated to the CFO and ERISA Counsel immediately.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funded status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actuarial valuation completion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Form 5500 filing by deadline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investment performance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fee benchmarking for defined contribution plan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fiduciary training for Committee members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Form 5500 filed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Funded status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Pension cost vs.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401(k) participation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Investment performance vs. benchmark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Meeting or exceeding over [3-5] year periods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Plan audit findings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material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Compensation Administration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Investment Policy (for plan assets)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715, Compensation — Retirement Benefits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ERISA (Employee Retirement Income Security 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430 (Minimum Funding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PBGC regulations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ASC 715 Disclosure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Description of plan terms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Reconciliation of PBO (beginning to ending)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Reconciliation of plan assets (beginning to ending)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Components of net periodic benefit cost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Assumptions used (discount rate, return, salary increase, mortality)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Expected benefit payments for the next 10 years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Expected employer contributions for the next year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Plan asset allocation by category</w:t>
      </w:r>
    </w:p>
    <w:p>
      <w:pPr>
        <w:pStyle w:val="Heading2"/>
        <w:spacing w:after="150" w:before="300"/>
      </w:pPr>
      <w:r>
        <w:rPr>
          <w:rFonts w:ascii="Georgia" w:cs="Georgia" w:eastAsia="Georgia" w:hAnsi="Georgia"/>
          <w:b/>
          <w:bCs/>
          <w:color w:val="333333"/>
          <w:sz w:val="26"/>
          <w:szCs w:val="26"/>
        </w:rPr>
        <w:t xml:space="preserve">Appendix B — Pension Funded Status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Component</w:t>
            </w:r>
          </w:p>
        </w:tc>
        <w:tc>
          <w:tcPr>
            <w:tcW w:type="dxa" w:w="6160"/>
            <w:shd w:fill="0C0C0C" w:val="clear"/>
          </w:tcPr>
          <w:p>
            <w:pPr>
              <w:spacing w:after="60" w:before="60"/>
            </w:pPr>
            <w:r>
              <w:rPr>
                <w:rFonts w:ascii="Calibri" w:cs="Calibri" w:eastAsia="Calibri" w:hAnsi="Calibri"/>
                <w:b/>
                <w:bCs/>
                <w:color w:val="D4AF37"/>
                <w:sz w:val="20"/>
                <w:szCs w:val="20"/>
              </w:rPr>
              <w:t xml:space="preserve">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Projected Benefit Obligation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Plan Assets at Fair Value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Funded Status (surplus / deficit)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Periodic Benefit Cost (annual)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Employer Contribution (current year)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AOCI — Unrecognized Actuarial Loss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AOCI — Prior Service 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Pension &amp; Post-Retirement Benefits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2026-07-13T16:59:24.193Z</dcterms:created>
  <dcterms:modified xsi:type="dcterms:W3CDTF">2026-07-13T16:59:24.193Z</dcterms:modified>
</cp:coreProperties>
</file>

<file path=docProps/custom.xml><?xml version="1.0" encoding="utf-8"?>
<Properties xmlns="http://schemas.openxmlformats.org/officeDocument/2006/custom-properties" xmlns:vt="http://schemas.openxmlformats.org/officeDocument/2006/docPropsVTypes"/>
</file>