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Restructuring &amp; Exit Cost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Restructuring and Exit Cost Policy establishes the standards, procedures, and controls governing how [Company Name] accounts for and manages restructuring activities, exit or disposal activities, and associated costs. The policy ensures compliance with ASC 420 (Exit or Disposal Cost Obligations), ASC 712 (Compensation — Nonretirement Postemployment Benefits for severance), and ASC 360 (Impairment related to asset disposals).</w:t>
      </w:r>
    </w:p>
    <w:p>
      <w:pPr>
        <w:spacing w:after="150" w:before="0"/>
        <w:jc w:val="both"/>
      </w:pPr>
      <w:r>
        <w:rPr>
          <w:rFonts w:ascii="Calibri" w:cs="Calibri" w:eastAsia="Calibri" w:hAnsi="Calibri"/>
          <w:color w:val="333333"/>
          <w:sz w:val="22"/>
          <w:szCs w:val="22"/>
        </w:rPr>
        <w:t xml:space="preserve">This policy applies to all restructuring and exit activities including: workforce reductions (layoffs, severance, retention bonuses), facility closures and lease terminations, product line discontinuations, organizational realignments, and contract termination costs.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Recognize restructuring costs in the correct period per GAAP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premature accrual of restructuring costs before the recognition criteria are met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Board and management approval before restructuring commitments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Track restructuring costs against approved budgets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transparent disclosure of restructuring activities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employment law requirements for workforce reductions (WARN Act)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Restructuring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program planned and controlled by management that materially changes the scope of the business or the manner in which the business is conducted.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Exit Activity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closure of a business unit, product line, or facility, or the termination of a contract.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One-Time Termination Benefits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Severance and related benefits provided to employees who are involuntarily terminated under a one-time benefit arrangement (not an ongoing plan).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Ongoing Benefit Arrangement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pre-existing severance plan or policy that provides benefits upon involuntary termination (accounted for under ASC 712).</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Contract Termination Cost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cost to terminate a contract before the end of its term, or the ongoing cost of a contract after the entity ceases using the rights conveyed by the contract.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Restructuring Reserve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accrued liability for approved but unpaid restructuring costs.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Communication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date on which the restructuring plan is communicated to affected employees — the recognition trigger for one-time termination benefits under ASC 420.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WARN Act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Worker Adjustment and Retraining Notification Act — requires 60 days advance notice for mass layoffs and plant closings.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Stranded Costs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Overhead costs that remain after a restructuring because they are not eliminated proportionally with the reduced activity.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Restructuring Charge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expense recorded in the income statement for restructuring activities, typically reported as a separate line item.</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Recognition Criteria</w:t>
      </w:r>
    </w:p>
    <w:p>
      <w:pPr>
        <w:spacing w:after="150" w:before="0"/>
        <w:jc w:val="both"/>
      </w:pPr>
      <w:r>
        <w:rPr>
          <w:rFonts w:ascii="Calibri" w:cs="Calibri" w:eastAsia="Calibri" w:hAnsi="Calibri"/>
          <w:color w:val="333333"/>
          <w:sz w:val="22"/>
          <w:szCs w:val="22"/>
        </w:rPr>
        <w:t xml:space="preserve">[Company Name] shall recognize restructuring costs per the applicable GAAP standard: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Cost Type</w:t>
            </w:r>
          </w:p>
        </w:tc>
        <w:tc>
          <w:tcPr>
            <w:tcW w:type="dxa" w:w="6160"/>
            <w:shd w:fill="0C0C0C" w:val="clear"/>
          </w:tcPr>
          <w:p>
            <w:pPr>
              <w:spacing w:after="60" w:before="60"/>
            </w:pPr>
            <w:r>
              <w:rPr>
                <w:rFonts w:ascii="Calibri" w:cs="Calibri" w:eastAsia="Calibri" w:hAnsi="Calibri"/>
                <w:b/>
                <w:bCs/>
                <w:color w:val="D4AF37"/>
                <w:sz w:val="20"/>
                <w:szCs w:val="20"/>
              </w:rPr>
              <w:t xml:space="preserve">Recognition Timing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One-time termination benefits (ASC 420)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On the communication date (if employees are not required to render future service); ratably over the future service period (if employees must stay to receive benefits)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Ongoing severance plan (ASC 712)</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When termination is probable and the amount is estimable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Contract termination costs (ASC 420)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the contract is terminated, or when the entity ceases using the rights conveyed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Other exit costs (ASC 420)</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When the liability is incurred (not when the decision is made)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Asset impairment (ASC 360)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the asset is tested and the carrying amount exceeds fair value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Lease termination (ASC 842)</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 lease modification guidance or upon ceasing use of the right-of-use asset</w:t>
            </w:r>
          </w:p>
        </w:tc>
      </w:tr>
    </w:tbl>
    <w:p>
      <w:pPr>
        <w:pStyle w:val="Heading2"/>
        <w:spacing w:after="150" w:before="300"/>
      </w:pPr>
      <w:r>
        <w:rPr>
          <w:rFonts w:ascii="Georgia" w:cs="Georgia" w:eastAsia="Georgia" w:hAnsi="Georgia"/>
          <w:b/>
          <w:bCs/>
          <w:color w:val="333333"/>
          <w:sz w:val="26"/>
          <w:szCs w:val="26"/>
        </w:rPr>
        <w:t xml:space="preserve">3.2 Plan Approval Requirements</w:t>
      </w:r>
    </w:p>
    <w:p>
      <w:pPr>
        <w:spacing w:after="150" w:before="0"/>
        <w:jc w:val="both"/>
      </w:pPr>
      <w:r>
        <w:rPr>
          <w:rFonts w:ascii="Calibri" w:cs="Calibri" w:eastAsia="Calibri" w:hAnsi="Calibri"/>
          <w:color w:val="333333"/>
          <w:sz w:val="22"/>
          <w:szCs w:val="22"/>
        </w:rPr>
        <w:t xml:space="preserve">Before any restructuring costs are accrued, the restructuring plan must be: approved by the CFO (for plans with total cost &lt; [$X]) or by the CEO and Board (for plans with total cost &gt; [$X] or involving &gt; [X] employees), sufficiently detailed to identify the specific actions, affected employees, costs, and timing, and communicated to affected employees (for one-time benefit recognition). A restructuring charge shall never be recorded based solely on a management decision without the required approvals and communication.</w:t>
      </w:r>
    </w:p>
    <w:p>
      <w:pPr>
        <w:pStyle w:val="Heading2"/>
        <w:spacing w:after="150" w:before="300"/>
      </w:pPr>
      <w:r>
        <w:rPr>
          <w:rFonts w:ascii="Georgia" w:cs="Georgia" w:eastAsia="Georgia" w:hAnsi="Georgia"/>
          <w:b/>
          <w:bCs/>
          <w:color w:val="333333"/>
          <w:sz w:val="26"/>
          <w:szCs w:val="26"/>
        </w:rPr>
        <w:t xml:space="preserve">3.3 Severance Standards</w:t>
      </w:r>
    </w:p>
    <w:p>
      <w:pPr>
        <w:spacing w:after="150" w:before="0"/>
        <w:jc w:val="both"/>
      </w:pPr>
      <w:r>
        <w:rPr>
          <w:rFonts w:ascii="Calibri" w:cs="Calibri" w:eastAsia="Calibri" w:hAnsi="Calibri"/>
          <w:color w:val="333333"/>
          <w:sz w:val="22"/>
          <w:szCs w:val="22"/>
        </w:rPr>
        <w:t xml:space="preserve">[Company Name]'s standard severance terms (if an ongoing plan exists):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Employee Level</w:t>
            </w:r>
          </w:p>
        </w:tc>
        <w:tc>
          <w:tcPr>
            <w:tcW w:type="dxa" w:w="6160"/>
            <w:shd w:fill="0C0C0C" w:val="clear"/>
          </w:tcPr>
          <w:p>
            <w:pPr>
              <w:spacing w:after="60" w:before="60"/>
            </w:pPr>
            <w:r>
              <w:rPr>
                <w:rFonts w:ascii="Calibri" w:cs="Calibri" w:eastAsia="Calibri" w:hAnsi="Calibri"/>
                <w:b/>
                <w:bCs/>
                <w:color w:val="D4AF37"/>
                <w:sz w:val="20"/>
                <w:szCs w:val="20"/>
              </w:rPr>
              <w:t xml:space="preserve">Standard Severance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Individual Contributor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weeks per year of service, minimum [X] weeks, maximum [X] weeks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 weeks per year of service, minimum [X] weeks, maximum [X] weeks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Director and above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weeks per year of service, minimum [X] weeks, maximum [X] weeks, plus [X] months benefits continuation</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Severance above the standard requires CFO approval. Severance for VP and above requires CEO approval.</w:t>
      </w:r>
    </w:p>
    <w:p>
      <w:pPr>
        <w:pStyle w:val="Heading2"/>
        <w:spacing w:after="150" w:before="300"/>
      </w:pPr>
      <w:r>
        <w:rPr>
          <w:rFonts w:ascii="Georgia" w:cs="Georgia" w:eastAsia="Georgia" w:hAnsi="Georgia"/>
          <w:b/>
          <w:bCs/>
          <w:color w:val="333333"/>
          <w:sz w:val="26"/>
          <w:szCs w:val="26"/>
        </w:rPr>
        <w:t xml:space="preserve">3.4 Restructuring Budget Tracking</w:t>
      </w:r>
    </w:p>
    <w:p>
      <w:pPr>
        <w:spacing w:after="150" w:before="0"/>
        <w:jc w:val="both"/>
      </w:pPr>
      <w:r>
        <w:rPr>
          <w:rFonts w:ascii="Calibri" w:cs="Calibri" w:eastAsia="Calibri" w:hAnsi="Calibri"/>
          <w:color w:val="333333"/>
          <w:sz w:val="22"/>
          <w:szCs w:val="22"/>
        </w:rPr>
        <w:t xml:space="preserve">All restructuring costs shall be tracked against the approved restructuring budget. The Controller shall prepare a monthly restructuring cost report showing: approved budget by cost category (severance, facilities, contract termination, other), actual costs incurred to date, remaining estimated costs, and variance analysis. Costs exceeding the approved budget by more than [10%] require additional CFO (or Board) approval.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significant restructuring plans. Communicates strategic rationale. Oversees execution.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Approves restructuring budgets. Reviews restructuring reserves quarterly. Reports to the Board. Oversees financial impact analysis.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restructuring accounting methodology. Records restructuring entries. Manages the reserve. Prepares disclosures.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Counsel / HR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Ensures legal compliance (WARN Act, employment law, local regulations). Manages employee notification. Reviews separation agreements.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CHRO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human impact: outplacement services, benefits continuation, communication to retained employees.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Unit Leaders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Execute the operational changes. Identify affected roles and employees. Manage the transition.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Models the financial impact: one-time costs, run-rate savings, payback period. Tracks actual savings realization.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restructuring reserve adequacy. Tests compliance with approval requirements.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Restructuring Plan Development</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Management identifies the strategic need for restructuring</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Business Unit Leaders identify the specific actions: roles eliminated, facilities affected, contracts terminated</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HR prepares the employee impact analysis: names, positions, severance calculations, WARN Act applicability</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FP&amp;A prepares the financial impact analysis: one-time costs, annual run-rate savings, payback period, EPS impact</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Legal reviews for compliance: WARN Act, local employment law, contract termination provisions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CFO/CEO/Board approves the restructuring plan</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Communication plan is developed: employee notification, customer communication, investor communication</w:t>
      </w:r>
    </w:p>
    <w:p>
      <w:pPr>
        <w:pStyle w:val="Heading2"/>
        <w:spacing w:after="150" w:before="300"/>
      </w:pPr>
      <w:r>
        <w:rPr>
          <w:rFonts w:ascii="Georgia" w:cs="Georgia" w:eastAsia="Georgia" w:hAnsi="Georgia"/>
          <w:b/>
          <w:bCs/>
          <w:color w:val="333333"/>
          <w:sz w:val="26"/>
          <w:szCs w:val="26"/>
        </w:rPr>
        <w:t xml:space="preserve">5.2 Accounting for Restructuring</w:t>
      </w:r>
    </w:p>
    <w:p>
      <w:pPr>
        <w:pStyle w:val="Heading3"/>
        <w:spacing w:after="100" w:before="200"/>
      </w:pPr>
      <w:r>
        <w:rPr>
          <w:rFonts w:ascii="Georgia" w:cs="Georgia" w:eastAsia="Georgia" w:hAnsi="Georgia"/>
          <w:b/>
          <w:bCs/>
          <w:color w:val="444444"/>
          <w:sz w:val="22"/>
          <w:szCs w:val="22"/>
        </w:rPr>
        <w:t xml:space="preserve">5.2.1 Workforce Reduction</w:t>
      </w:r>
    </w:p>
    <w:p>
      <w:pPr>
        <w:spacing w:after="150" w:before="0"/>
        <w:jc w:val="both"/>
      </w:pPr>
      <w:r>
        <w:rPr>
          <w:rFonts w:ascii="Calibri" w:cs="Calibri" w:eastAsia="Calibri" w:hAnsi="Calibri"/>
          <w:color w:val="333333"/>
          <w:sz w:val="22"/>
          <w:szCs w:val="22"/>
        </w:rPr>
        <w:t xml:space="preserve">On the communication date, the Controller shall record: Dr. Restructuring Charge / Cr. Restructuring Reserve for the total severance and benefits obligation. If employees must render service beyond a minimum retention period to receive benefits, the cost is recognized ratably over the service period. Severance payments are debited against the reserve as they are made.</w:t>
      </w:r>
    </w:p>
    <w:p>
      <w:pPr>
        <w:pStyle w:val="Heading3"/>
        <w:spacing w:after="100" w:before="200"/>
      </w:pPr>
      <w:r>
        <w:rPr>
          <w:rFonts w:ascii="Georgia" w:cs="Georgia" w:eastAsia="Georgia" w:hAnsi="Georgia"/>
          <w:b/>
          <w:bCs/>
          <w:color w:val="444444"/>
          <w:sz w:val="22"/>
          <w:szCs w:val="22"/>
        </w:rPr>
        <w:t xml:space="preserve">5.2.2 Facility Closure</w:t>
      </w:r>
    </w:p>
    <w:p>
      <w:pPr>
        <w:spacing w:after="150" w:before="0"/>
        <w:jc w:val="both"/>
      </w:pPr>
      <w:r>
        <w:rPr>
          <w:rFonts w:ascii="Calibri" w:cs="Calibri" w:eastAsia="Calibri" w:hAnsi="Calibri"/>
          <w:color w:val="333333"/>
          <w:sz w:val="22"/>
          <w:szCs w:val="22"/>
        </w:rPr>
        <w:t xml:space="preserve">Facility closure costs include: remaining lease payments (evaluated as a lease modification or ceasing use of the ROU asset), asset impairment for leasehold improvements and equipment, decommissioning and restoration costs, and employee relocation costs (expensed as incurred). Lease costs are recognized per ASC 842 modification guidance.</w:t>
      </w:r>
    </w:p>
    <w:p>
      <w:pPr>
        <w:pStyle w:val="Heading3"/>
        <w:spacing w:after="100" w:before="200"/>
      </w:pPr>
      <w:r>
        <w:rPr>
          <w:rFonts w:ascii="Georgia" w:cs="Georgia" w:eastAsia="Georgia" w:hAnsi="Georgia"/>
          <w:b/>
          <w:bCs/>
          <w:color w:val="444444"/>
          <w:sz w:val="22"/>
          <w:szCs w:val="22"/>
        </w:rPr>
        <w:t xml:space="preserve">5.2.3 Contract Termination</w:t>
      </w:r>
    </w:p>
    <w:p>
      <w:pPr>
        <w:spacing w:after="150" w:before="0"/>
        <w:jc w:val="both"/>
      </w:pPr>
      <w:r>
        <w:rPr>
          <w:rFonts w:ascii="Calibri" w:cs="Calibri" w:eastAsia="Calibri" w:hAnsi="Calibri"/>
          <w:color w:val="333333"/>
          <w:sz w:val="22"/>
          <w:szCs w:val="22"/>
        </w:rPr>
        <w:t xml:space="preserve">Contract termination costs are recognized when the contract is terminated or when [Company Name] ceases using the contract rights. The cost is the greater of: the termination penalty, or the remaining contractual payments (net of any sublease or mitigating income).</w:t>
      </w:r>
    </w:p>
    <w:p>
      <w:pPr>
        <w:pStyle w:val="Heading2"/>
        <w:spacing w:after="150" w:before="300"/>
      </w:pPr>
      <w:r>
        <w:rPr>
          <w:rFonts w:ascii="Georgia" w:cs="Georgia" w:eastAsia="Georgia" w:hAnsi="Georgia"/>
          <w:b/>
          <w:bCs/>
          <w:color w:val="333333"/>
          <w:sz w:val="26"/>
          <w:szCs w:val="26"/>
        </w:rPr>
        <w:t xml:space="preserve">5.3 Reserve Management</w:t>
      </w:r>
    </w:p>
    <w:p>
      <w:pPr>
        <w:spacing w:after="150" w:before="0"/>
        <w:jc w:val="both"/>
      </w:pPr>
      <w:r>
        <w:rPr>
          <w:rFonts w:ascii="Calibri" w:cs="Calibri" w:eastAsia="Calibri" w:hAnsi="Calibri"/>
          <w:color w:val="333333"/>
          <w:sz w:val="22"/>
          <w:szCs w:val="22"/>
        </w:rPr>
        <w:t xml:space="preserve">The restructuring reserve shall be reviewed quarterly by the Controller: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Are the remaining estimated costs still valid? (Update for changes in plans or estimates)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Are any reserve components no longer needed? (Reverse excess reserves through the restructuring charge line)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Are actual costs tracking to the approved budget? (Escalate variances &gt; 10%)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Has the reserve been utilized timely? (Reserves that remain for &gt; [12] months without utilization require enhanced justification)</w:t>
      </w:r>
    </w:p>
    <w:p>
      <w:pPr>
        <w:pStyle w:val="Heading2"/>
        <w:spacing w:after="150" w:before="300"/>
      </w:pPr>
      <w:r>
        <w:rPr>
          <w:rFonts w:ascii="Georgia" w:cs="Georgia" w:eastAsia="Georgia" w:hAnsi="Georgia"/>
          <w:b/>
          <w:bCs/>
          <w:color w:val="333333"/>
          <w:sz w:val="26"/>
          <w:szCs w:val="26"/>
        </w:rPr>
        <w:t xml:space="preserve">5.4 Savings Tracking</w:t>
      </w:r>
    </w:p>
    <w:p>
      <w:pPr>
        <w:spacing w:after="150" w:before="0"/>
        <w:jc w:val="both"/>
      </w:pPr>
      <w:r>
        <w:rPr>
          <w:rFonts w:ascii="Calibri" w:cs="Calibri" w:eastAsia="Calibri" w:hAnsi="Calibri"/>
          <w:color w:val="333333"/>
          <w:sz w:val="22"/>
          <w:szCs w:val="22"/>
        </w:rPr>
        <w:t xml:space="preserve">FP&amp;A shall track restructuring savings realization: monthly comparison of actual vs. projected run-rate savings, identification of stranded costs that reduce net savings, quarterly savings realization report to the CFO, and cumulative savings vs. cumulative costs (ROI analysis) at 12 and 24 months post-restructuring.</w:t>
      </w:r>
    </w:p>
    <w:p>
      <w:pPr>
        <w:pStyle w:val="Heading2"/>
        <w:spacing w:after="150" w:before="300"/>
      </w:pPr>
      <w:r>
        <w:rPr>
          <w:rFonts w:ascii="Georgia" w:cs="Georgia" w:eastAsia="Georgia" w:hAnsi="Georgia"/>
          <w:b/>
          <w:bCs/>
          <w:color w:val="333333"/>
          <w:sz w:val="26"/>
          <w:szCs w:val="26"/>
        </w:rPr>
        <w:t xml:space="preserve">5.5 Disclosure</w:t>
      </w:r>
    </w:p>
    <w:p>
      <w:pPr>
        <w:spacing w:after="150" w:before="0"/>
        <w:jc w:val="both"/>
      </w:pPr>
      <w:r>
        <w:rPr>
          <w:rFonts w:ascii="Calibri" w:cs="Calibri" w:eastAsia="Calibri" w:hAnsi="Calibri"/>
          <w:color w:val="333333"/>
          <w:sz w:val="22"/>
          <w:szCs w:val="22"/>
        </w:rPr>
        <w:t xml:space="preserve">Restructuring charges shall be disclosed in the financial statements: as a separate line item on the income statement (or disclosed in the notes), with detail by major cost type (severance, facilities, other), with a reserve rollforward (beginning balance, charges, payments, adjustments, ending balance), and with expected future costs and timing.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Restructuring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Restructuring plan 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Total cost &lt; $1M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Restructuring plan 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Total cost $1M - $5M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CEO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Restructuring plan 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Total cost &gt; $5M or &gt; [X] employees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Individual severance above standard</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VP and above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CEO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Individual severance above standard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Below VP</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Reserve adjustment (increase &gt; 10% of original)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 if original required Board approval)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Reserve release (excess reserve reversal)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$250K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Reserve release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$250K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Employee communication timing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HR + Legal + CFO coordination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Restructuring costs shall not be accrued before the plan is approved and communicated per the requirements of this policy and ASC 420. If the restructuring plan changes materially after initial accrual, the reserve shall be adjusted with CFO approval. If actual costs are expected to exceed the approved budget, the CFO shall be notified immediately with a revised estimate and plan.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restructuring cost tracking vs. approved budget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reserve adequacy review by the Controller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savings realization tracking by FP&amp;A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WARN Act compliance verification for each restructuring event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reserve aging review (items &gt; 12 months)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Restructuring costs vs. approved budget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WARN Act compliance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Reserve aging (items &gt; 12 months)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[10%] of reserve balance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Savings realization (actual vs. projected at 12 months)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[80%+] of projected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Restructuring payback period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approved timeline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Asset &amp; Capitalization Policy (asset impairment)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Lease Accounting Policy (lease termination/modification)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Processing Policy (severance payments)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420, Exit or Disposal Cost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712, Nonretirement Postemployment Benefits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360, Impairment of Long-Lived Assets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WARN Act (29 USC §2101-2109)</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Restructuring Reserve Rollforward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Category</w:t>
            </w:r>
          </w:p>
        </w:tc>
        <w:tc>
          <w:tcPr>
            <w:tcW w:type="dxa" w:w="2400"/>
            <w:shd w:fill="0C0C0C" w:val="clear"/>
          </w:tcPr>
          <w:p>
            <w:pPr>
              <w:spacing w:after="60" w:before="60"/>
            </w:pPr>
            <w:r>
              <w:rPr>
                <w:rFonts w:ascii="Calibri" w:cs="Calibri" w:eastAsia="Calibri" w:hAnsi="Calibri"/>
                <w:b/>
                <w:bCs/>
                <w:color w:val="D4AF37"/>
                <w:sz w:val="20"/>
                <w:szCs w:val="20"/>
              </w:rPr>
              <w:t xml:space="preserve">Beginning Balance</w:t>
            </w:r>
          </w:p>
        </w:tc>
        <w:tc>
          <w:tcPr>
            <w:tcW w:type="dxa" w:w="4560"/>
            <w:shd w:fill="0C0C0C" w:val="clear"/>
          </w:tcPr>
          <w:p>
            <w:pPr>
              <w:spacing w:after="60" w:before="60"/>
            </w:pPr>
            <w:r>
              <w:rPr>
                <w:rFonts w:ascii="Calibri" w:cs="Calibri" w:eastAsia="Calibri" w:hAnsi="Calibri"/>
                <w:b/>
                <w:bCs/>
                <w:color w:val="D4AF37"/>
                <w:sz w:val="20"/>
                <w:szCs w:val="20"/>
              </w:rPr>
              <w:t xml:space="preserve">Charges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Severance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Facilities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Contract termination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Other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Total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B — Restructuring Plan Approval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Strategic rationale documented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Specific actions identified (roles, facilities, contracts)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impact analysis complete (costs, savings, payback)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WARN Act assessment completed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Legal review of employment law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Communication plan prepared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Approval obtained per authority matrix</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Employee notification date confirmed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Restructuring &amp; Exit Cost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2026-07-13T16:59:23.723Z</dcterms:created>
  <dcterms:modified xsi:type="dcterms:W3CDTF">2026-07-13T16:59:23.736Z</dcterms:modified>
</cp:coreProperties>
</file>

<file path=docProps/custom.xml><?xml version="1.0" encoding="utf-8"?>
<Properties xmlns="http://schemas.openxmlformats.org/officeDocument/2006/custom-properties" xmlns:vt="http://schemas.openxmlformats.org/officeDocument/2006/docPropsVTypes"/>
</file>