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Contingent Liability &amp; Litigation Reserve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Contingent Liability and Litigation Reserve Policy establishes the standards, procedures, and controls governing how [Company Name] identifies, evaluates, accrues, and discloses contingent liabilities arising from litigation, claims, regulatory actions, guarantees, and other uncertain obligations. The policy ensures compliance with ASC 450 (Contingencies) and provides the framework for the quarterly management assessment of loss contingencies.</w:t>
      </w:r>
    </w:p>
    <w:p>
      <w:pPr>
        <w:spacing w:after="150" w:before="0"/>
        <w:jc w:val="both"/>
      </w:pPr>
      <w:r>
        <w:rPr>
          <w:rFonts w:ascii="Calibri" w:cs="Calibri" w:eastAsia="Calibri" w:hAnsi="Calibri"/>
          <w:color w:val="333333"/>
          <w:sz w:val="22"/>
          <w:szCs w:val="22"/>
        </w:rPr>
        <w:t xml:space="preserve">This policy applies to all contingent liabilities including: pending and threatened litigation, government investigations and regulatory proceedings, product liability and warranty claims, environmental remediation obligations, tax audit exposures (evaluated jointly with the Tax Policy under ASC 740-10), guarantee obligations, and other commitments that may result in a future outflow of resources.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Identify all contingent liabilities across the organization through systematic inquiry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Apply ASC 450's probability framework consistently to all loss contingencies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appropriate accruals (reserves) when losses are probable and estimable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complete and accurate disclosure of contingencies in financial statements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Support the CEO/CFO SOX certifications regarding the completeness of liabilities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Protect attorney-client privilege while meeting financial reporting obligations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Contingent Liability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potential obligation that may arise from past events, whose existence will be confirmed by the occurrence or non-occurrence of uncertain future events.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Loss Contingency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existing condition involving uncertainty as to possible loss that will be resolved when future events occur or fail to occur.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Probable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future event(s) are likely to occur (ASC 450 accrual threshold).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Reasonably Possible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chance of occurrence is more than remote but less than likely (ASC 450 disclosure threshold).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Remote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chance of occurrence is slight (no accrual or disclosure required, with limited exceptions).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Litigation Reserve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An accrued liability for a probable and estimable loss from litigation or claims.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Gain Contingency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potential gain that will be confirmed by future events (not recognized until realized, per ASC 450-30).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Legal Matter Summary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periodic report from Legal to Finance describing all pending legal matters, their status, and loss assessment.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Representation Letter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letter from management to the external auditor representing the completeness of litigation and claims disclosures.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Audit Inquiry Letter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letter from [Company Name]'s external auditor to outside legal counsel requesting evaluation of litigation matters (ABA guidelines).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ASC 450 Framework</w:t>
      </w:r>
    </w:p>
    <w:p>
      <w:pPr>
        <w:spacing w:after="150" w:before="0"/>
        <w:jc w:val="both"/>
      </w:pPr>
      <w:r>
        <w:rPr>
          <w:rFonts w:ascii="Calibri" w:cs="Calibri" w:eastAsia="Calibri" w:hAnsi="Calibri"/>
          <w:color w:val="333333"/>
          <w:sz w:val="22"/>
          <w:szCs w:val="22"/>
        </w:rPr>
        <w:t xml:space="preserve">[Company Name] shall evaluate all loss contingencies using the ASC 450 probability framework: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Probability Level</w:t>
            </w:r>
          </w:p>
        </w:tc>
        <w:tc>
          <w:tcPr>
            <w:tcW w:type="dxa" w:w="6160"/>
            <w:shd w:fill="0C0C0C" w:val="clear"/>
          </w:tcPr>
          <w:p>
            <w:pPr>
              <w:spacing w:after="60" w:before="60"/>
            </w:pPr>
            <w:r>
              <w:rPr>
                <w:rFonts w:ascii="Calibri" w:cs="Calibri" w:eastAsia="Calibri" w:hAnsi="Calibri"/>
                <w:b/>
                <w:bCs/>
                <w:color w:val="D4AF37"/>
                <w:sz w:val="20"/>
                <w:szCs w:val="20"/>
              </w:rPr>
              <w:t xml:space="preserve">Accounting Treatment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Probable (likely to occur)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Accrue the loss if the amount can be reasonably estimated. If a range exists and no amount within the range is a better estimate, accrue the low end of the range. Disclose the nature of the contingency.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Reasonably Possible (more than remote but less than probable)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Do not accrue. Disclose the nature of the contingency and an estimate of the possible loss or range of loss (or state that an estimate cannot be made).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Remote (slight chance)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No accrual. No disclosure required (except for guarantees, which must be disclosed regardless of probability).</w:t>
            </w:r>
          </w:p>
        </w:tc>
      </w:tr>
    </w:tbl>
    <w:p>
      <w:pPr>
        <w:pStyle w:val="Heading2"/>
        <w:spacing w:after="150" w:before="300"/>
      </w:pPr>
      <w:r>
        <w:rPr>
          <w:rFonts w:ascii="Georgia" w:cs="Georgia" w:eastAsia="Georgia" w:hAnsi="Georgia"/>
          <w:b/>
          <w:bCs/>
          <w:color w:val="333333"/>
          <w:sz w:val="26"/>
          <w:szCs w:val="26"/>
        </w:rPr>
        <w:t xml:space="preserve">3.2 Identification Process</w:t>
      </w:r>
    </w:p>
    <w:p>
      <w:pPr>
        <w:spacing w:after="150" w:before="0"/>
        <w:jc w:val="both"/>
      </w:pPr>
      <w:r>
        <w:rPr>
          <w:rFonts w:ascii="Calibri" w:cs="Calibri" w:eastAsia="Calibri" w:hAnsi="Calibri"/>
          <w:color w:val="333333"/>
          <w:sz w:val="22"/>
          <w:szCs w:val="22"/>
        </w:rPr>
        <w:t xml:space="preserve">[Company Name] shall identify contingent liabilities through: quarterly legal matter inquiries to all business unit leaders and subsidiary controllers, quarterly legal matter summary from the General Counsel, annual audit inquiry letters to outside legal counsel, review of insurance claims and incidents, and monitoring of regulatory developments and government investigations. No contingent liability shall go unassessed because it was not identified — the identification process is as critical as the assessment process.</w:t>
      </w:r>
    </w:p>
    <w:p>
      <w:pPr>
        <w:pStyle w:val="Heading2"/>
        <w:spacing w:after="150" w:before="300"/>
      </w:pPr>
      <w:r>
        <w:rPr>
          <w:rFonts w:ascii="Georgia" w:cs="Georgia" w:eastAsia="Georgia" w:hAnsi="Georgia"/>
          <w:b/>
          <w:bCs/>
          <w:color w:val="333333"/>
          <w:sz w:val="26"/>
          <w:szCs w:val="26"/>
        </w:rPr>
        <w:t xml:space="preserve">3.3 Assessment Process</w:t>
      </w:r>
    </w:p>
    <w:p>
      <w:pPr>
        <w:spacing w:after="150" w:before="0"/>
        <w:jc w:val="both"/>
      </w:pPr>
      <w:r>
        <w:rPr>
          <w:rFonts w:ascii="Calibri" w:cs="Calibri" w:eastAsia="Calibri" w:hAnsi="Calibri"/>
          <w:color w:val="333333"/>
          <w:sz w:val="22"/>
          <w:szCs w:val="22"/>
        </w:rPr>
        <w:t xml:space="preserve">The assessment of each contingent liability shall consider: the nature and facts of the matter, the stage of proceedings (early, discovery, trial, appeal), the legal strategy and defenses available, prior experience with similar matters, opinions of inside and outside legal counsel, settlement discussions and offers, and insurance coverage and recovery potential. Assessments shall be updated quarterly. Material changes between quarters shall trigger an interim reassessment.</w:t>
      </w:r>
    </w:p>
    <w:p>
      <w:pPr>
        <w:pStyle w:val="Heading2"/>
        <w:spacing w:after="150" w:before="300"/>
      </w:pPr>
      <w:r>
        <w:rPr>
          <w:rFonts w:ascii="Georgia" w:cs="Georgia" w:eastAsia="Georgia" w:hAnsi="Georgia"/>
          <w:b/>
          <w:bCs/>
          <w:color w:val="333333"/>
          <w:sz w:val="26"/>
          <w:szCs w:val="26"/>
        </w:rPr>
        <w:t xml:space="preserve">3.4 Attorney-Client Privilege</w:t>
      </w:r>
    </w:p>
    <w:p>
      <w:pPr>
        <w:spacing w:after="150" w:before="0"/>
        <w:jc w:val="both"/>
      </w:pPr>
      <w:r>
        <w:rPr>
          <w:rFonts w:ascii="Calibri" w:cs="Calibri" w:eastAsia="Calibri" w:hAnsi="Calibri"/>
          <w:color w:val="333333"/>
          <w:sz w:val="22"/>
          <w:szCs w:val="22"/>
        </w:rPr>
        <w:t xml:space="preserve">The contingent liability assessment involves sensitive attorney-client privileged communications. To protect privilege: legal assessments shall be communicated through the General Counsel, the specific details shared with Finance shall be limited to what is necessary for the accounting determination, and financial statement disclosures shall be reviewed by Legal to avoid waiver of privilege. The General Counsel and Controller shall coordinate to provide sufficient information for accounting purposes while preserving privilege.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Reviews and approves significant litigation reserves. Presents contingency assessment to the Audit Committee.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Owns the contingent liability accounting methodology. Prepares the quarterly reserve analysis. Coordinates with Legal on assessments.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General Counsel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Provides the quarterly legal matter summary. Assesses probability and potential loss for each matter. Coordinates with outside counsel.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Outside Legal Counsel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Provides case assessments for the audit inquiry letter. Advises on settlement values and litigation strategy.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Business Unit Leaders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Identify and report potential claims, disputes, and incidents to Legal within [5] business days of discovery.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Risk Manager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Evaluates insurance coverage for litigation matters. Coordinates insurance claims. Assesses self-insured retention exposure.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Tests the contingent liability identification and assessment process. Reviews completeness of the legal matter inventory.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External Auditor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Sends audit inquiry letters to outside counsel. Reviews the reasonableness of litigation reserves. Evaluates disclosures.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Quarterly Assessment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General Counsel distributes the legal matter questionnaire to all department heads and subsidiary controllers by [30] days before quarter-end</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Responses are compiled and new matters are added to the legal matter inventory</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General Counsel updates the legal matter summary with: status, probability assessment (probable/reasonably possible/remote), estimated loss or range of loss, and any changes from the prior quarter</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Controller reviews the legal matter summary and prepares the reserve analysis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For probable and estimable matters: accrual is calculated (best estimate within the range, or low end if no best estimate)</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For reasonably possible matters: disclosure language is drafted</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Controller and General Counsel meet to discuss the reserve analysis and disclosure</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CFO reviews and approves the reserve analysis</w:t>
      </w:r>
    </w:p>
    <w:p>
      <w:pPr>
        <w:spacing w:after="80"/>
        <w:ind w:left="720"/>
      </w:pPr>
      <w:r>
        <w:rPr>
          <w:rFonts w:ascii="Calibri" w:cs="Calibri" w:eastAsia="Calibri" w:hAnsi="Calibri"/>
          <w:b/>
          <w:bCs/>
          <w:color w:val="D4AF37"/>
          <w:sz w:val="22"/>
          <w:szCs w:val="22"/>
        </w:rPr>
        <w:t xml:space="preserve">9.  </w:t>
      </w:r>
      <w:r>
        <w:rPr>
          <w:rFonts w:ascii="Calibri" w:cs="Calibri" w:eastAsia="Calibri" w:hAnsi="Calibri"/>
          <w:color w:val="333333"/>
          <w:sz w:val="22"/>
          <w:szCs w:val="22"/>
        </w:rPr>
        <w:t xml:space="preserve">Reserve journal entries are posted; disclosure footnotes are updated</w:t>
      </w:r>
    </w:p>
    <w:p>
      <w:pPr>
        <w:spacing w:after="80"/>
        <w:ind w:left="720"/>
      </w:pPr>
      <w:r>
        <w:rPr>
          <w:rFonts w:ascii="Calibri" w:cs="Calibri" w:eastAsia="Calibri" w:hAnsi="Calibri"/>
          <w:b/>
          <w:bCs/>
          <w:color w:val="D4AF37"/>
          <w:sz w:val="22"/>
          <w:szCs w:val="22"/>
        </w:rPr>
        <w:t xml:space="preserve">10.  </w:t>
      </w:r>
      <w:r>
        <w:rPr>
          <w:rFonts w:ascii="Calibri" w:cs="Calibri" w:eastAsia="Calibri" w:hAnsi="Calibri"/>
          <w:color w:val="333333"/>
          <w:sz w:val="22"/>
          <w:szCs w:val="22"/>
        </w:rPr>
        <w:t xml:space="preserve">Results are presented to the Audit Committee</w:t>
      </w:r>
    </w:p>
    <w:p>
      <w:pPr>
        <w:pStyle w:val="Heading2"/>
        <w:spacing w:after="150" w:before="300"/>
      </w:pPr>
      <w:r>
        <w:rPr>
          <w:rFonts w:ascii="Georgia" w:cs="Georgia" w:eastAsia="Georgia" w:hAnsi="Georgia"/>
          <w:b/>
          <w:bCs/>
          <w:color w:val="333333"/>
          <w:sz w:val="26"/>
          <w:szCs w:val="26"/>
        </w:rPr>
        <w:t xml:space="preserve">5.2 Reserve Estimation Methodology</w:t>
      </w:r>
    </w:p>
    <w:p>
      <w:pPr>
        <w:pStyle w:val="Heading3"/>
        <w:spacing w:after="100" w:before="200"/>
      </w:pPr>
      <w:r>
        <w:rPr>
          <w:rFonts w:ascii="Georgia" w:cs="Georgia" w:eastAsia="Georgia" w:hAnsi="Georgia"/>
          <w:b/>
          <w:bCs/>
          <w:color w:val="444444"/>
          <w:sz w:val="22"/>
          <w:szCs w:val="22"/>
        </w:rPr>
        <w:t xml:space="preserve">5.2.1 Individual Case Reserves</w:t>
      </w:r>
    </w:p>
    <w:p>
      <w:pPr>
        <w:spacing w:after="150" w:before="0"/>
        <w:jc w:val="both"/>
      </w:pPr>
      <w:r>
        <w:rPr>
          <w:rFonts w:ascii="Calibri" w:cs="Calibri" w:eastAsia="Calibri" w:hAnsi="Calibri"/>
          <w:color w:val="333333"/>
          <w:sz w:val="22"/>
          <w:szCs w:val="22"/>
        </w:rPr>
        <w:t xml:space="preserve">For matters that can be individually assessed (typically larger or more developed matters): the reserve is based on the most likely outcome considering all facts and circumstances. If a range of outcomes exists and no amount within the range is a better estimate, the minimum of the range is accrued. The maximum of the range is disclosed if it differs significantly from the accrued amount.</w:t>
      </w:r>
    </w:p>
    <w:p>
      <w:pPr>
        <w:pStyle w:val="Heading3"/>
        <w:spacing w:after="100" w:before="200"/>
      </w:pPr>
      <w:r>
        <w:rPr>
          <w:rFonts w:ascii="Georgia" w:cs="Georgia" w:eastAsia="Georgia" w:hAnsi="Georgia"/>
          <w:b/>
          <w:bCs/>
          <w:color w:val="444444"/>
          <w:sz w:val="22"/>
          <w:szCs w:val="22"/>
        </w:rPr>
        <w:t xml:space="preserve">5.2.2 Portfolio Reserves</w:t>
      </w:r>
    </w:p>
    <w:p>
      <w:pPr>
        <w:spacing w:after="150" w:before="0"/>
        <w:jc w:val="both"/>
      </w:pPr>
      <w:r>
        <w:rPr>
          <w:rFonts w:ascii="Calibri" w:cs="Calibri" w:eastAsia="Calibri" w:hAnsi="Calibri"/>
          <w:color w:val="333333"/>
          <w:sz w:val="22"/>
          <w:szCs w:val="22"/>
        </w:rPr>
        <w:t xml:space="preserve">For large volumes of similar claims (product liability, employment claims, customer disputes): a portfolio approach may be used, applying historical loss rates to the current claim inventory. The portfolio reserve is adjusted for: changes in claim volume and mix, changes in the legal environment, changes in settlement patterns, and inflation.</w:t>
      </w:r>
    </w:p>
    <w:p>
      <w:pPr>
        <w:pStyle w:val="Heading3"/>
        <w:spacing w:after="100" w:before="200"/>
      </w:pPr>
      <w:r>
        <w:rPr>
          <w:rFonts w:ascii="Georgia" w:cs="Georgia" w:eastAsia="Georgia" w:hAnsi="Georgia"/>
          <w:b/>
          <w:bCs/>
          <w:color w:val="444444"/>
          <w:sz w:val="22"/>
          <w:szCs w:val="22"/>
        </w:rPr>
        <w:t xml:space="preserve">5.2.3 Insurance Recovery</w:t>
      </w:r>
    </w:p>
    <w:p>
      <w:pPr>
        <w:spacing w:after="150" w:before="0"/>
        <w:jc w:val="both"/>
      </w:pPr>
      <w:r>
        <w:rPr>
          <w:rFonts w:ascii="Calibri" w:cs="Calibri" w:eastAsia="Calibri" w:hAnsi="Calibri"/>
          <w:color w:val="333333"/>
          <w:sz w:val="22"/>
          <w:szCs w:val="22"/>
        </w:rPr>
        <w:t xml:space="preserve">Insurance recoveries related to litigation reserves shall be: assessed separately from the loss contingency (no netting), recorded as a receivable only when recovery is probable, and presented on the balance sheet separately from the related liability (not netted).</w:t>
      </w:r>
    </w:p>
    <w:p>
      <w:pPr>
        <w:pStyle w:val="Heading2"/>
        <w:spacing w:after="150" w:before="300"/>
      </w:pPr>
      <w:r>
        <w:rPr>
          <w:rFonts w:ascii="Georgia" w:cs="Georgia" w:eastAsia="Georgia" w:hAnsi="Georgia"/>
          <w:b/>
          <w:bCs/>
          <w:color w:val="333333"/>
          <w:sz w:val="26"/>
          <w:szCs w:val="26"/>
        </w:rPr>
        <w:t xml:space="preserve">5.3 Audit Inquiry Letters</w:t>
      </w:r>
    </w:p>
    <w:p>
      <w:pPr>
        <w:spacing w:after="150" w:before="0"/>
        <w:jc w:val="both"/>
      </w:pPr>
      <w:r>
        <w:rPr>
          <w:rFonts w:ascii="Calibri" w:cs="Calibri" w:eastAsia="Calibri" w:hAnsi="Calibri"/>
          <w:color w:val="333333"/>
          <w:sz w:val="22"/>
          <w:szCs w:val="22"/>
        </w:rPr>
        <w:t xml:space="preserve">At year-end (and at interim periods if requested by the auditor), the external auditor sends inquiry letters to outside legal counsel. The General Counsel shall: identify all outside counsel who should receive inquiry letters, coordinate the audit inquiry letter process, review counsel responses for consistency with the reserve analysis, and address any discrepancies between counsel responses and management's assessment.</w:t>
      </w:r>
    </w:p>
    <w:p>
      <w:pPr>
        <w:pStyle w:val="Heading2"/>
        <w:spacing w:after="150" w:before="300"/>
      </w:pPr>
      <w:r>
        <w:rPr>
          <w:rFonts w:ascii="Georgia" w:cs="Georgia" w:eastAsia="Georgia" w:hAnsi="Georgia"/>
          <w:b/>
          <w:bCs/>
          <w:color w:val="333333"/>
          <w:sz w:val="26"/>
          <w:szCs w:val="26"/>
        </w:rPr>
        <w:t xml:space="preserve">5.4 Disclosure Preparation</w:t>
      </w:r>
    </w:p>
    <w:p>
      <w:pPr>
        <w:spacing w:after="150" w:before="0"/>
        <w:jc w:val="both"/>
      </w:pPr>
      <w:r>
        <w:rPr>
          <w:rFonts w:ascii="Calibri" w:cs="Calibri" w:eastAsia="Calibri" w:hAnsi="Calibri"/>
          <w:color w:val="333333"/>
          <w:sz w:val="22"/>
          <w:szCs w:val="22"/>
        </w:rPr>
        <w:t xml:space="preserve">The Controller shall prepare contingent liability disclosures for the financial statements covering: the nature of each material contingency, the accrued amount (if a reserve is recorded), the range of reasonably possible loss in excess of amounts accrued, and for matters where an estimate cannot be made, a statement to that effect. Disclosures shall be reviewed by Legal for privilege concerns and by the external auditor for completeness.</w:t>
      </w:r>
    </w:p>
    <w:p>
      <w:pPr>
        <w:pStyle w:val="Heading2"/>
        <w:spacing w:after="150" w:before="300"/>
      </w:pPr>
      <w:r>
        <w:rPr>
          <w:rFonts w:ascii="Georgia" w:cs="Georgia" w:eastAsia="Georgia" w:hAnsi="Georgia"/>
          <w:b/>
          <w:bCs/>
          <w:color w:val="333333"/>
          <w:sz w:val="26"/>
          <w:szCs w:val="26"/>
        </w:rPr>
        <w:t xml:space="preserve">5.5 Settlement and Resolution</w:t>
      </w:r>
    </w:p>
    <w:p>
      <w:pPr>
        <w:spacing w:after="150" w:before="0"/>
        <w:jc w:val="both"/>
      </w:pPr>
      <w:r>
        <w:rPr>
          <w:rFonts w:ascii="Calibri" w:cs="Calibri" w:eastAsia="Calibri" w:hAnsi="Calibri"/>
          <w:color w:val="333333"/>
          <w:sz w:val="22"/>
          <w:szCs w:val="22"/>
        </w:rPr>
        <w:t xml:space="preserve">When a contingent liability is resolved (settlement, judgment, or dismissal): the reserve is adjusted to the final amount, any difference between the reserve and the settlement/judgment is recorded in the current period, settlement payments are processed per the AP policy with appropriate approval, and the matter is closed in the legal matter inventory.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Contingent Liability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Initial probability assessment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 matters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General Counsel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Litigation reserve accrual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$100K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Litigation reserve accrual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$100K - $1M</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Litigation reserve accrual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$1M</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Audit Committee notification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Reserve increase &gt; [50%] of existing reserve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Settlement authority</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Per DOA (separate from reserve)</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See Financial Delegation of Authority</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Reserve release (matter resolved favorably)</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$250K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Reserve release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$250K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Gain contingency recognition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CFO (recognize only when realized)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Matters involving potential officer or director liability shall be escalated to the Audit Committee directly. Matters involving potential fraud shall be handled per the Fraud Prevention Policy. If inside counsel and outside counsel disagree on the probability assessment, the more conservative position shall be adopted pending further analysis. The General Counsel and Controller shall escalate any matter where the assessment changes from reasonably possible to probable (or vice versa) to the CFO immediately.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legal matter questionnaire completion (100% of respondents)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reserve analysis reviewed by Controller and CFO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Audit Committee presentation on material contingencies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comparison of prior-period reserves to actual outcomes (reserve accuracy)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audit inquiry letter process completion</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Legal matter questionnaire completion rate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Reserve analysis completed before financial statement finalization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Actual outcomes vs. prior reserves (reserve accuracy)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[25%] for settled matters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Undisclosed contingencies discovered by auditors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Audit inquiry letter responses received timely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Insurance &amp; Risk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Disclosure Controls &amp; Procedures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Tax Compliance &amp; Planning Policy (uncertain tax positions)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Fraud Prevention &amp; Whistleblower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450, Contingencies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460, Guarantees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FASB ASC 450-20, Loss Contingencies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ABA Statement of Policy Regarding Lawyers' Responses to Auditors' Requests for Information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Legal Matter Inventory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Matter ID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Unique identifier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Matter name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Description of the claim or proceeding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Plaintiff / claimant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Who brought the claim</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Date filed / discovered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When the matter arose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Outside counsel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Firm and partner handling the matter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Probability assessment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Probable / reasonably possible / remote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Estimated loss range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Low to high estimate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Accrued reserve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Amount recorded as a liability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Insurance coverage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Applicable policy and expected recovery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Status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Active / settled / dismissed / appealed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Last assessment date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When the assessment was last updated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Next milestone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Upcoming event (hearing, deposition, trial date)</w:t>
            </w:r>
          </w:p>
        </w:tc>
      </w:tr>
    </w:tbl>
    <w:p>
      <w:pPr>
        <w:pStyle w:val="Heading2"/>
        <w:spacing w:after="150" w:before="300"/>
      </w:pPr>
      <w:r>
        <w:rPr>
          <w:rFonts w:ascii="Georgia" w:cs="Georgia" w:eastAsia="Georgia" w:hAnsi="Georgia"/>
          <w:b/>
          <w:bCs/>
          <w:color w:val="333333"/>
          <w:sz w:val="26"/>
          <w:szCs w:val="26"/>
        </w:rPr>
        <w:t xml:space="preserve">Appendix B — Quarterly Reserve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Matter</w:t>
            </w:r>
          </w:p>
        </w:tc>
        <w:tc>
          <w:tcPr>
            <w:tcW w:type="dxa" w:w="2400"/>
            <w:shd w:fill="0C0C0C" w:val="clear"/>
          </w:tcPr>
          <w:p>
            <w:pPr>
              <w:spacing w:after="60" w:before="60"/>
            </w:pPr>
            <w:r>
              <w:rPr>
                <w:rFonts w:ascii="Calibri" w:cs="Calibri" w:eastAsia="Calibri" w:hAnsi="Calibri"/>
                <w:b/>
                <w:bCs/>
                <w:color w:val="D4AF37"/>
                <w:sz w:val="20"/>
                <w:szCs w:val="20"/>
              </w:rPr>
              <w:t xml:space="preserve">Prior Reserve</w:t>
            </w:r>
          </w:p>
        </w:tc>
        <w:tc>
          <w:tcPr>
            <w:tcW w:type="dxa" w:w="4560"/>
            <w:shd w:fill="0C0C0C" w:val="clear"/>
          </w:tcPr>
          <w:p>
            <w:pPr>
              <w:spacing w:after="60" w:before="60"/>
            </w:pPr>
            <w:r>
              <w:rPr>
                <w:rFonts w:ascii="Calibri" w:cs="Calibri" w:eastAsia="Calibri" w:hAnsi="Calibri"/>
                <w:b/>
                <w:bCs/>
                <w:color w:val="D4AF37"/>
                <w:sz w:val="20"/>
                <w:szCs w:val="20"/>
              </w:rPr>
              <w:t xml:space="preserve">Current Assessment</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Total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Contingent Liability &amp; Litigation Reserve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2026-07-13T16:52:41.081Z</dcterms:created>
  <dcterms:modified xsi:type="dcterms:W3CDTF">2026-07-13T16:52:41.081Z</dcterms:modified>
</cp:coreProperties>
</file>

<file path=docProps/custom.xml><?xml version="1.0" encoding="utf-8"?>
<Properties xmlns="http://schemas.openxmlformats.org/officeDocument/2006/custom-properties" xmlns:vt="http://schemas.openxmlformats.org/officeDocument/2006/docPropsVTypes"/>
</file>