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Month-End Accrual &amp; Cutoff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Month-End Accrual and Cutoff Policy establishes the standards, procedures, and controls governing the recognition of expenses and revenues in the correct accounting period through accruals, deferrals, and cutoff procedures at [Company Name]. The policy ensures compliance with the matching principle and the accrual basis of accounting per GAAP.</w:t>
      </w:r>
    </w:p>
    <w:p>
      <w:pPr>
        <w:spacing w:after="150" w:before="0"/>
        <w:jc w:val="both"/>
      </w:pPr>
      <w:r>
        <w:rPr>
          <w:rFonts w:ascii="Calibri" w:cs="Calibri" w:eastAsia="Calibri" w:hAnsi="Calibri"/>
          <w:color w:val="333333"/>
          <w:sz w:val="22"/>
          <w:szCs w:val="22"/>
        </w:rPr>
        <w:t xml:space="preserve">This policy applies to all accrual entries, cutoff procedures, and period-end adjustments made by [Company Name] and its consolidated subsidiaries during the monthly, quarterly, and annual financial close process.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expenses and revenues are recognized in the correct accounting period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consistent accrual methodologies and materiality thresholds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cutoff procedures for revenue, purchases, and payroll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Standardize the treatment of recurring and non-recurring accruals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reversal of accruals in the subsequent period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audit-ready documentation supporting all period-end adjustments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Accrual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recognition of an expense or revenue that has been incurred or earned but not yet recorded through the normal transaction cycle (no invoice received or issued).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Accrued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obligation recognized on the balance sheet for expenses incurred but not yet paid or invoiced.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Accrued Revenue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Revenue earned but not yet billed to the customer (unbilled revenue / contract asset).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Cutoff</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procedures ensuring that transactions are recorded in the period in which they occur, regardless of when cash changes hands.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Reversing Entry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journal entry made at the beginning of a period that reverses an accrual from the prior period, preventing double-counting when the actual transaction is recorded.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Recurring Accrual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accrual that is made every period for a predictable expense (rent, utilities, salaries, insurance amortization).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Non-Recurring Accrual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accrual for a specific event or transaction that does not repeat predictably (legal settlements, restructuring, project milestones).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Accrual Accuracy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comparison of the accrual estimate to the actual expense when the invoice is received, used to assess estimation quality.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Soft Close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preliminary close with estimated accruals to provide early financial results, followed by final adjustments.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Hard Close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final close when all accruals are finalized and the books are locked for the period.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Accrual Recognition Criteria</w:t>
      </w:r>
    </w:p>
    <w:p>
      <w:pPr>
        <w:spacing w:after="150" w:before="0"/>
        <w:jc w:val="both"/>
      </w:pPr>
      <w:r>
        <w:rPr>
          <w:rFonts w:ascii="Calibri" w:cs="Calibri" w:eastAsia="Calibri" w:hAnsi="Calibri"/>
          <w:color w:val="333333"/>
          <w:sz w:val="22"/>
          <w:szCs w:val="22"/>
        </w:rPr>
        <w:t xml:space="preserve">An accrual shall be recorded when all of the following conditions are met: a liability has been incurred or revenue has been earned during the period, the amount can be reasonably estimated (exact amount not required), the amount exceeds the materiality threshold, and no invoice has been received (for expenses) or issued (for revenue) by the close deadline.</w:t>
      </w:r>
    </w:p>
    <w:p>
      <w:pPr>
        <w:pStyle w:val="Heading2"/>
        <w:spacing w:after="150" w:before="300"/>
      </w:pPr>
      <w:r>
        <w:rPr>
          <w:rFonts w:ascii="Georgia" w:cs="Georgia" w:eastAsia="Georgia" w:hAnsi="Georgia"/>
          <w:b/>
          <w:bCs/>
          <w:color w:val="333333"/>
          <w:sz w:val="26"/>
          <w:szCs w:val="26"/>
        </w:rPr>
        <w:t xml:space="preserve">3.2 Materiality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Financial Statement</w:t>
            </w:r>
          </w:p>
        </w:tc>
        <w:tc>
          <w:tcPr>
            <w:tcW w:type="dxa" w:w="6160"/>
            <w:shd w:fill="0C0C0C" w:val="clear"/>
          </w:tcPr>
          <w:p>
            <w:pPr>
              <w:spacing w:after="60" w:before="60"/>
            </w:pPr>
            <w:r>
              <w:rPr>
                <w:rFonts w:ascii="Calibri" w:cs="Calibri" w:eastAsia="Calibri" w:hAnsi="Calibri"/>
                <w:b/>
                <w:bCs/>
                <w:color w:val="D4AF37"/>
                <w:sz w:val="20"/>
                <w:szCs w:val="20"/>
              </w:rPr>
              <w:t xml:space="preserve">Accrual Threshold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Monthly management reporting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$[5,000] (individual items)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Quarterly SEC reporting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$[10,000] (individual items) or $[50,000] (aggregate unrecorded items)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 reporting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overall materiality framework</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Items below the threshold need not be individually accrued but shall be considered in aggregate. If unaccrued items in aggregate are material, accruals shall be recorded regardless of individual amounts.</w:t>
      </w:r>
    </w:p>
    <w:p>
      <w:pPr>
        <w:pStyle w:val="Heading2"/>
        <w:spacing w:after="150" w:before="300"/>
      </w:pPr>
      <w:r>
        <w:rPr>
          <w:rFonts w:ascii="Georgia" w:cs="Georgia" w:eastAsia="Georgia" w:hAnsi="Georgia"/>
          <w:b/>
          <w:bCs/>
          <w:color w:val="333333"/>
          <w:sz w:val="26"/>
          <w:szCs w:val="26"/>
        </w:rPr>
        <w:t xml:space="preserve">3.3 Accrual Categories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Category</w:t>
            </w:r>
          </w:p>
        </w:tc>
        <w:tc>
          <w:tcPr>
            <w:tcW w:type="dxa" w:w="6160"/>
            <w:shd w:fill="0C0C0C" w:val="clear"/>
          </w:tcPr>
          <w:p>
            <w:pPr>
              <w:spacing w:after="60" w:before="60"/>
            </w:pPr>
            <w:r>
              <w:rPr>
                <w:rFonts w:ascii="Calibri" w:cs="Calibri" w:eastAsia="Calibri" w:hAnsi="Calibri"/>
                <w:b/>
                <w:bCs/>
                <w:color w:val="D4AF37"/>
                <w:sz w:val="20"/>
                <w:szCs w:val="20"/>
              </w:rPr>
              <w:t xml:space="preserve">Methodology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Compensation accrual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Daily rate × earned but unpaid days at period-end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Bonus accrual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Year-to-date target attainment × plan payout × time elapsed ÷ total plan period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Benefits accrual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Actual enrollment × monthly rates, prorated for the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Rent and occupancy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Monthly contractual amounts (straight-line for escalating leases per ASC 842)</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Utilities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Prior month actual or budget estimate (trued up when invoice received)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Professional services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Vendor-provided unbilled hours × contractual rate, or budget estimate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accrual (unbilled)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ASC 606 — time-based (subscription), cost-to-cost (fixed price), or hours delivered (T&amp;M)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 accrual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Estimated quarterly provision per the Tax Compliance Policy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Insurance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 premium ÷ 12, adjusted for any mid-year changes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Warranty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Estimated claims per the Warranty Reserve Policy methodology</w:t>
            </w:r>
          </w:p>
        </w:tc>
      </w:tr>
    </w:tbl>
    <w:p>
      <w:pPr>
        <w:pStyle w:val="Heading2"/>
        <w:spacing w:after="150" w:before="300"/>
      </w:pPr>
      <w:r>
        <w:rPr>
          <w:rFonts w:ascii="Georgia" w:cs="Georgia" w:eastAsia="Georgia" w:hAnsi="Georgia"/>
          <w:b/>
          <w:bCs/>
          <w:color w:val="333333"/>
          <w:sz w:val="26"/>
          <w:szCs w:val="26"/>
        </w:rPr>
        <w:t xml:space="preserve">3.4 Cutoff Procedures</w:t>
      </w:r>
    </w:p>
    <w:p>
      <w:pPr>
        <w:spacing w:after="150" w:before="0"/>
        <w:jc w:val="both"/>
      </w:pPr>
      <w:r>
        <w:rPr>
          <w:rFonts w:ascii="Calibri" w:cs="Calibri" w:eastAsia="Calibri" w:hAnsi="Calibri"/>
          <w:color w:val="333333"/>
          <w:sz w:val="22"/>
          <w:szCs w:val="22"/>
        </w:rPr>
        <w:t xml:space="preserve">[Company Name] shall implement the following cutoff controls:</w:t>
      </w:r>
    </w:p>
    <w:p>
      <w:pPr>
        <w:pStyle w:val="Heading3"/>
        <w:spacing w:after="100" w:before="200"/>
      </w:pPr>
      <w:r>
        <w:rPr>
          <w:rFonts w:ascii="Georgia" w:cs="Georgia" w:eastAsia="Georgia" w:hAnsi="Georgia"/>
          <w:b/>
          <w:bCs/>
          <w:color w:val="444444"/>
          <w:sz w:val="22"/>
          <w:szCs w:val="22"/>
        </w:rPr>
        <w:t xml:space="preserve">3.4.1 Revenue Cutoff</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Shipments on the last day of the period shall be verified for actual ship date (BOL confirmation)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Service revenue shall be supported by time records through the last day of the period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Subscription revenue shall be calculated through the exact period end 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 revenue shall be pulled forward from the next period or held back from the current period</w:t>
      </w:r>
    </w:p>
    <w:p>
      <w:pPr>
        <w:pStyle w:val="Heading3"/>
        <w:spacing w:after="100" w:before="200"/>
      </w:pPr>
      <w:r>
        <w:rPr>
          <w:rFonts w:ascii="Georgia" w:cs="Georgia" w:eastAsia="Georgia" w:hAnsi="Georgia"/>
          <w:b/>
          <w:bCs/>
          <w:color w:val="444444"/>
          <w:sz w:val="22"/>
          <w:szCs w:val="22"/>
        </w:rPr>
        <w:t xml:space="preserve">3.4.2 Purchase Cutoff</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Goods received on or before period-end shall be accrued if the invoice has not been received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receiving department shall provide a goods received / not invoiced (GRNI) report by Day [1] of close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Services consumed through period-end shall be accrued based on vendor communication or contract terms</w:t>
      </w:r>
    </w:p>
    <w:p>
      <w:pPr>
        <w:pStyle w:val="Heading3"/>
        <w:spacing w:after="100" w:before="200"/>
      </w:pPr>
      <w:r>
        <w:rPr>
          <w:rFonts w:ascii="Georgia" w:cs="Georgia" w:eastAsia="Georgia" w:hAnsi="Georgia"/>
          <w:b/>
          <w:bCs/>
          <w:color w:val="444444"/>
          <w:sz w:val="22"/>
          <w:szCs w:val="22"/>
        </w:rPr>
        <w:t xml:space="preserve">3.4.3 Payroll Cutoff</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Wages and salaries shall be accrued for days worked between the last payroll date and period-end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Commission accruals shall be recorded for the current period per the Commission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accrual and cutoff policy. Approves non-recurring accruals. Reviews aggregate accrual accuracy.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Accounting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accrual schedule. Reviews accrual calculations. Monitors accrual reversal timing.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Staff Accountants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 recurring accruals. Gather supporting data from departments. Document accrual calculations.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Department Heads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 accrual data (project status, vendor estimates, headcount). Validate accrual reasonableness.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the GRNI report. Identifies invoices received after close that relate to the prior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Payroll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payroll accrual calculations. Confirms days in the accrual period.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budget data for estimated accruals. Reviews actual vs. accrual variance for forecast accuracy.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cutoff procedures and accrual accuracy as part of the SOX testing program.</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Monthly Accrual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Accounting Manager distributes the accrual request to department heads by Day [-3] before period-end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Department heads submit accrual estimates with supporting detail by Day [1] of close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Staff Accountants prepare accrual journal entries with supporting calculation and documentation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Recurring accruals are generated systematically or from templates with period-specific updates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Non-recurring accruals are individually documented with business context and calculation methodology</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Accounting Manager reviews all accruals for reasonableness and completeness</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Controller reviews non-recurring accruals and any accrual exceeding [$X]</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Accrual entries posted to the GL</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Prior-month reversing entries confirmed (auto-reversed or manually reversed on Day 1)</w:t>
      </w:r>
    </w:p>
    <w:p>
      <w:pPr>
        <w:pStyle w:val="Heading2"/>
        <w:spacing w:after="150" w:before="300"/>
      </w:pPr>
      <w:r>
        <w:rPr>
          <w:rFonts w:ascii="Georgia" w:cs="Georgia" w:eastAsia="Georgia" w:hAnsi="Georgia"/>
          <w:b/>
          <w:bCs/>
          <w:color w:val="333333"/>
          <w:sz w:val="26"/>
          <w:szCs w:val="26"/>
        </w:rPr>
        <w:t xml:space="preserve">5.2 Accrual Accuracy Tracking</w:t>
      </w:r>
    </w:p>
    <w:p>
      <w:pPr>
        <w:spacing w:after="150" w:before="0"/>
        <w:jc w:val="both"/>
      </w:pPr>
      <w:r>
        <w:rPr>
          <w:rFonts w:ascii="Calibri" w:cs="Calibri" w:eastAsia="Calibri" w:hAnsi="Calibri"/>
          <w:color w:val="333333"/>
          <w:sz w:val="22"/>
          <w:szCs w:val="22"/>
        </w:rPr>
        <w:t xml:space="preserve">When the actual invoice is received for a previously accrued expense, the accrual accuracy shall be evaluated: the difference between the accrual and the actual is calculated and categorized as: accurate (within [10%]), reasonable (within [10-25%]), or poor (variance &gt; [25%]). Accounts or departments with consistently poor accrual accuracy shall be subject to enhanced review and may require improved estimation processes. Accrual accuracy is tracked monthly and reported to the Controller quarterly.</w:t>
      </w:r>
    </w:p>
    <w:p>
      <w:pPr>
        <w:pStyle w:val="Heading2"/>
        <w:spacing w:after="150" w:before="300"/>
      </w:pPr>
      <w:r>
        <w:rPr>
          <w:rFonts w:ascii="Georgia" w:cs="Georgia" w:eastAsia="Georgia" w:hAnsi="Georgia"/>
          <w:b/>
          <w:bCs/>
          <w:color w:val="333333"/>
          <w:sz w:val="26"/>
          <w:szCs w:val="26"/>
        </w:rPr>
        <w:t xml:space="preserve">5.3 Reversing Entries</w:t>
      </w:r>
    </w:p>
    <w:p>
      <w:pPr>
        <w:spacing w:after="150" w:before="0"/>
        <w:jc w:val="both"/>
      </w:pPr>
      <w:r>
        <w:rPr>
          <w:rFonts w:ascii="Calibri" w:cs="Calibri" w:eastAsia="Calibri" w:hAnsi="Calibri"/>
          <w:color w:val="333333"/>
          <w:sz w:val="22"/>
          <w:szCs w:val="22"/>
        </w:rPr>
        <w:t xml:space="preserve">Accruals shall be reversed on the first day of the subsequent period unless: the accrual relates to a balance that will remain until a specific event (e.g., legal reserve, warranty), or the accrual is for a multi-period estimate that is trued up rather than reversed (e.g., bonus accrual that builds throughout the year). Auto-reversal shall be used for routine accruals to prevent double-counting. The reversing entry flag shall be set at the time of posting.</w:t>
      </w:r>
    </w:p>
    <w:p>
      <w:pPr>
        <w:pStyle w:val="Heading2"/>
        <w:spacing w:after="150" w:before="300"/>
      </w:pPr>
      <w:r>
        <w:rPr>
          <w:rFonts w:ascii="Georgia" w:cs="Georgia" w:eastAsia="Georgia" w:hAnsi="Georgia"/>
          <w:b/>
          <w:bCs/>
          <w:color w:val="333333"/>
          <w:sz w:val="26"/>
          <w:szCs w:val="26"/>
        </w:rPr>
        <w:t xml:space="preserve">5.4 Goods Received Not Invoiced (GRNI)</w:t>
      </w:r>
    </w:p>
    <w:p>
      <w:pPr>
        <w:spacing w:after="150" w:before="0"/>
        <w:jc w:val="both"/>
      </w:pPr>
      <w:r>
        <w:rPr>
          <w:rFonts w:ascii="Calibri" w:cs="Calibri" w:eastAsia="Calibri" w:hAnsi="Calibri"/>
          <w:color w:val="333333"/>
          <w:sz w:val="22"/>
          <w:szCs w:val="22"/>
        </w:rPr>
        <w:t xml:space="preserve">AP shall generate the GRNI report by Day [1] of close showing: all goods received in the period for which no invoice has been received, the PO amount for each receipt, and the vendor and expected invoice date. Receipts exceeding [$X] shall be individually accrued. Receipts below [$X] shall be accrued in aggregate if the total is material. The GRNI accrual is a critical cutoff control and a SOX key control at most companies.</w:t>
      </w:r>
    </w:p>
    <w:p>
      <w:pPr>
        <w:pStyle w:val="Heading2"/>
        <w:spacing w:after="150" w:before="300"/>
      </w:pPr>
      <w:r>
        <w:rPr>
          <w:rFonts w:ascii="Georgia" w:cs="Georgia" w:eastAsia="Georgia" w:hAnsi="Georgia"/>
          <w:b/>
          <w:bCs/>
          <w:color w:val="333333"/>
          <w:sz w:val="26"/>
          <w:szCs w:val="26"/>
        </w:rPr>
        <w:t xml:space="preserve">5.5 Quarter-End and Year-End Enhanced Procedures</w:t>
      </w:r>
    </w:p>
    <w:p>
      <w:pPr>
        <w:spacing w:after="150" w:before="0"/>
        <w:jc w:val="both"/>
      </w:pPr>
      <w:r>
        <w:rPr>
          <w:rFonts w:ascii="Calibri" w:cs="Calibri" w:eastAsia="Calibri" w:hAnsi="Calibri"/>
          <w:color w:val="333333"/>
          <w:sz w:val="22"/>
          <w:szCs w:val="22"/>
        </w:rPr>
        <w:t xml:space="preserve">At quarter-end and year-end, the following additional procedures apply: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department heads must confirm that no material unaccrued liabilities exist (management representation)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shall confirm litigation and contingency accrual status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HR shall confirm severance and restructuring accrual status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shall provide the income tax provision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Controller shall perform a comprehensive accrual completeness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external auditor shall review significant accruals and cutoff procedures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Accrual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Recurring accrual (within established methodology)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Staff Accountant prepares, Accounting Manager reviews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Non-recurring accrual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Accounting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Non-recurring accrual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$50K - $250K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Non-recurring accrual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Accrual methodology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Materiality threshold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Accrual write-off (aged accrual no longer needed)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$25K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Accounting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Accrual write-off</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$25K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Accruals based on estimates with high uncertainty shall be disclosed to the Controller with a range of possible outcomes. If the best estimate cannot be determined within the range, the low end of the range shall be accrued per ASC 450. Department heads who consistently fail to provide timely or accurate accrual data shall be escalated to the CFO. Financial statements shall not be finalized until all material accruals have been reviewed and approved.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accrual completion tracking (all accruals posted by deadline)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accrual accuracy tracking (actual vs. accrual when invoices are received)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aggregate accrual accuracy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stale accruals (accruals &gt; [6] months without activity)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SOX testing of cutoff and accrual controls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Accruals posted by close deadline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Accrual accuracy (within 10% of actual)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[80%+] of accruals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Stale accruals (&gt; 6 months)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Investigated and resolved or written off</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Revenue cutoff errors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material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Purchase cutoff errors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material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Department accrual data submission on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General Ledger &amp; Journal Entry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Balance Sheet Reconciliation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Commission &amp; Variable Compensation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Monthly Accrual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Compensation accrual (earned but unpaid days)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Bonus accrual (YTD attainment)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Benefits accrual (insurance, 401k match)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Rent and occupancy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Utilities estimate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GRNI (goods received not invoiced)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Professional services (legal, audit, consulting)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accrual (unbilled revenue)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Commission accrual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provision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Interest accrual (on debt)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amortization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Non-recurring items (confirm with department heads)</w:t>
      </w:r>
    </w:p>
    <w:p>
      <w:pPr>
        <w:pStyle w:val="Heading2"/>
        <w:spacing w:after="150" w:before="300"/>
      </w:pPr>
      <w:r>
        <w:rPr>
          <w:rFonts w:ascii="Georgia" w:cs="Georgia" w:eastAsia="Georgia" w:hAnsi="Georgia"/>
          <w:b/>
          <w:bCs/>
          <w:color w:val="333333"/>
          <w:sz w:val="26"/>
          <w:szCs w:val="26"/>
        </w:rPr>
        <w:t xml:space="preserve">Appendix B — Accrual Accuracy Report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Account</w:t>
            </w:r>
          </w:p>
        </w:tc>
        <w:tc>
          <w:tcPr>
            <w:tcW w:type="dxa" w:w="2400"/>
            <w:shd w:fill="0C0C0C" w:val="clear"/>
          </w:tcPr>
          <w:p>
            <w:pPr>
              <w:spacing w:after="60" w:before="60"/>
            </w:pPr>
            <w:r>
              <w:rPr>
                <w:rFonts w:ascii="Calibri" w:cs="Calibri" w:eastAsia="Calibri" w:hAnsi="Calibri"/>
                <w:b/>
                <w:bCs/>
                <w:color w:val="D4AF37"/>
                <w:sz w:val="20"/>
                <w:szCs w:val="20"/>
              </w:rPr>
              <w:t xml:space="preserve">Accrual Amount</w:t>
            </w:r>
          </w:p>
        </w:tc>
        <w:tc>
          <w:tcPr>
            <w:tcW w:type="dxa" w:w="4560"/>
            <w:shd w:fill="0C0C0C" w:val="clear"/>
          </w:tcPr>
          <w:p>
            <w:pPr>
              <w:spacing w:after="60" w:before="60"/>
            </w:pPr>
            <w:r>
              <w:rPr>
                <w:rFonts w:ascii="Calibri" w:cs="Calibri" w:eastAsia="Calibri" w:hAnsi="Calibri"/>
                <w:b/>
                <w:bCs/>
                <w:color w:val="D4AF37"/>
                <w:sz w:val="20"/>
                <w:szCs w:val="20"/>
              </w:rPr>
              <w:t xml:space="preserve">Actual Amount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Month-End Accrual &amp; Cutoff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2026-07-13T16:52:40.781Z</dcterms:created>
  <dcterms:modified xsi:type="dcterms:W3CDTF">2026-07-13T16:52:40.781Z</dcterms:modified>
</cp:coreProperties>
</file>

<file path=docProps/custom.xml><?xml version="1.0" encoding="utf-8"?>
<Properties xmlns="http://schemas.openxmlformats.org/officeDocument/2006/custom-properties" xmlns:vt="http://schemas.openxmlformats.org/officeDocument/2006/docPropsVTypes"/>
</file>