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D4AF37"/>
          <w:sz w:val="56"/>
          <w:szCs w:val="56"/>
        </w:rPr>
        <w:t xml:space="preserve">EFuturesCFO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4"/>
          <w:szCs w:val="24"/>
        </w:rPr>
        <w:t xml:space="preserve">Executive Decision Tools</w:t>
      </w:r>
    </w:p>
    <w:p>
      <w:pPr>
        <w:pBdr>
          <w:bottom w:val="single" w:color="D4AF37" w:sz="6"/>
        </w:pBdr>
        <w:spacing w:after="600"/>
        <w:jc w:val="center"/>
      </w:pPr>
      <w:r>
        <w:rPr>
          <w:sz w:val="12"/>
          <w:szCs w:val="12"/>
        </w:rPr>
        <w:t xml:space="preserve"> </w:t>
      </w:r>
    </w:p>
    <w:p>
      <w:pPr>
        <w:spacing w:after="400"/>
      </w:pP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0C0C0C"/>
          <w:sz w:val="48"/>
          <w:szCs w:val="48"/>
        </w:rPr>
        <w:t xml:space="preserve">Balance Sheet Reconciliation Policy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666666"/>
          <w:sz w:val="28"/>
          <w:szCs w:val="28"/>
        </w:rPr>
        <w:t xml:space="preserve">Policy &amp; Procedures Manual</w:t>
      </w:r>
    </w:p>
    <w:p>
      <w:pPr>
        <w:spacing w:after="2000"/>
      </w:pP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C0C0C"/>
          <w:sz w:val="28"/>
          <w:szCs w:val="28"/>
        </w:rPr>
        <w:t xml:space="preserve">[Company Name]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2"/>
          <w:szCs w:val="22"/>
        </w:rPr>
        <w:t xml:space="preserve">Policy Document — Confidential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0"/>
          <w:szCs w:val="20"/>
        </w:rPr>
        <w:t xml:space="preserve">Effective Date: [Date]  |  Version: 1.0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9CA3AF"/>
          <w:sz w:val="20"/>
          <w:szCs w:val="20"/>
        </w:rPr>
        <w:t xml:space="preserve">Owner: [Policy Owner Title]  |  Approved by: [CFO Name]</w:t>
      </w:r>
    </w:p>
    <w:p>
      <w:r>
        <w:br w:type="page"/>
      </w:r>
    </w:p>
    <w:p>
      <w:pPr>
        <w:pStyle w:val="Heading1"/>
        <w:spacing w:after="3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1. Purpose &amp; Scope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This Balance Sheet Reconciliation Policy establishes the standards, procedures, and controls governing the reconciliation of all balance sheet accounts at [Company Name]. The policy ensures that every balance sheet account is supported by a detailed reconciliation that validates the accuracy and completeness of the reported balance, enabling reliable financial reporting and strong internal controls over financial reporting (ICFR).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This policy applies to all general ledger accounts classified on the balance sheet — assets, liabilities, and equity — for [Company Name] and all consolidated subsidiaries. It covers the reconciliation process from preparation through review and issue resolution.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1.1 Objectives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Ensure every balance sheet account is reconciled to supporting detail on a defined schedule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Identify and resolve discrepancies, errors, and unreconciled items timely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the integrity of financial statements and SOX compliance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Establish clear ownership, preparation, and review standards for reconciliations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Reduce the risk of material misstatement through disciplined reconciliation practices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audit-ready documentation for internal and external auditors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2.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Term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Definition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Balance Sheet Reconciliation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process of comparing the GL account balance to independent supporting detail (sub-ledger, bank statement, third-party confirmation, or schedule) and explaining any differences.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Reconciling Item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difference between the GL balance and the supporting detail that can be identified and explained (timing difference, in-transit item, known adjustment).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Unreconciled Item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difference that cannot be explained and requires investigation.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Stale Item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reconciling item that has remained open beyond the aging threshold defined for the account category.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Preparer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individual who performs the reconciliation and documents the supporting detail.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Reviewer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individual who independently reviews the reconciliation for accuracy, completeness, and timeliness.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Materiality Threshold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dollar amount below which reconciling items are considered immaterial and may be monitored rather than individually investigated.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Certification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preparer's and reviewer's sign-off confirming the reconciliation is complete, accurate, and all significant items are explained.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Sub-Ledger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 detailed subsidiary ledger that feeds into the GL control account (e.g., AP sub-ledger, AR sub-ledger, FA register).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Reconciliation Tool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The software used to manage, standardize, and track balance sheet reconciliations (e.g., BlackLine, FloQast, Trintech).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3. Policy Statements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3.1 Coverage Requirement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Every balance sheet account with a non-zero balance shall be reconciled. Accounts with zero balances shall be confirmed as zero on a [quarterly] basis. No balance sheet account shall be excluded from the reconciliation process without Controller approval and documented justification.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3.2 Reconciliation Frequency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Account Category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Reconciliation Frequency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and bank accounts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 (daily for operating accounts during close)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Accounts receivable (control account to sub-ledger)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Inventory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 (perpetual) or at physical count dates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Prepaid expenses and other current assets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Fixed assets and accumulated depreciation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Intangible assets and goodwill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Quarterly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Accounts payable (control account to sub-ledger)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Accrued liabilities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Deferred revenue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Debt and lease obligations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Income tax accounts (current and deferred)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Quarterly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Intercompany accounts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 (must net to zero at consolidation)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Equity accounts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Quarterly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 other balance sheet accounts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Monthly or quarterly based on risk and activity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3.3 Reconciliation Standards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Every reconciliation shall include: the GL account number and name, the GL balance as of the reconciliation date, the supporting detail balance (sub-ledger, bank statement, schedule), an itemized list of reconciling items with: description, amount, date originated, expected resolution date, and responsible individual, the net reconciled balance (GL balance minus reconciling items equals supporting detail), preparer name and date, and reviewer name and date.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3.4 Segregation of Duties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preparer and reviewer of a reconciliation shall be different individuals. The reviewer shall be at a level senior to or equal to the preparer. For SOX key controls, the reviewer shall be at the manager level or above. Self-review (reconciling an account you are also responsible for booking entries to) is prohibited without compensating controls approved by the Controller.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3.5 Stale Item Management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Reconciling items shall be resolved within the following timeframes: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Account Category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Maximum Age Before Escalation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and bank items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[30] days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Intercompany items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[30] days (must be zero at consolidation)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AR and AP differences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[60] days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Accrued liabilities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[60] days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Prepaid and other assets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[90] days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 other accounts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[90] days</w:t>
            </w:r>
          </w:p>
        </w:tc>
      </w:tr>
    </w:tbl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Items exceeding these thresholds are classified as stale and require escalation to the Accounting Manager or Controller with a remediation plan.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4. Roles &amp; Responsibilities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Role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Responsibilities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Owns the reconciliation policy. Reviews the reconciliation completion dashboard. Approves exceptions. Escalates systemic issues.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Accounting Manager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Assigns reconciliation ownership. Reviews high-risk and SOX-critical reconciliations. Monitors stale items. Manages the reconciliation calendar.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Staff Accountants (Preparers)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Prepare reconciliations per the standards in this policy. Investigate and resolve reconciling items. Certify completeness and accuracy.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Senior Accountants / Managers (Reviewers)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 reconciliations for accuracy, completeness, and timeliness. Challenge unexplained items. Certify the review.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FP&amp;A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Provides budget and forecast data to support accrual and prepaid reconciliations. Investigates unusual balance fluctuations.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IT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Maintains the reconciliation tool. Ensures system integrations deliver data timely. Supports automation.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Internal Audit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Tests reconciliation controls as part of the SOX testing program. Reviews stale item aging. Validates reconciliation quality.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External Auditor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Reviews selected reconciliations during interim and year-end audit procedures.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5. Detailed Procedures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5.1 Reconciliation Preparation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GL trial balance extracted after the monthly close is substantially complete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Preparer obtains the supporting detail (sub-ledger report, bank statement, third-party confirmation, or manual schedule)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Preparer compares the GL balance to the supporting detail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Differences are identified and categorized: timing differences (will clear in the next period), known adjustments (journal entry needed), errors (incorrect posting requiring correction), and unreconciled items (require investigation)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5.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Adjusting journal entries are prepared for identified errors (per the Journal Entry Policy)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6.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Reconciliation is documented in [reconciliation tool] with all required elements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7.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Preparer certifies the reconciliation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5.2 Reconciliation Review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Reviewer receives notification that the reconciliation is ready for review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Reviewer evaluates: is the GL balance correct? Is the supporting detail from a reliable, independent source? Are all reconciling items adequately explained? Are any items stale (aged beyond threshold)? Have prior-period items been resolved? Is the reconciliation mathematically accurate?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Reviewer returns the reconciliation with questions or requests for additional support if needed</w:t>
      </w:r>
    </w:p>
    <w:p>
      <w:pPr>
        <w:spacing w:after="80"/>
        <w:ind w:left="720"/>
      </w:pPr>
      <w:r>
        <w:rPr>
          <w:rFonts w:ascii="Calibri" w:cs="Calibri" w:eastAsia="Calibri" w:hAnsi="Calibri"/>
          <w:b/>
          <w:bCs/>
          <w:color w:val="D4AF37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Reviewer certifies the reconciliation upon satisfaction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5.3 Risk-Based Approach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Accounts shall be classified by risk level to focus reviewer effort: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Risk Level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Criteria and Review Standard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High Risk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SOX key accounts, high-value balances, high transaction volume, complex estimates, history of errors. Reviewer: Manager or above. Every reconciling item reviewed.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Medium Risk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Moderate balances, moderate complexity, limited estimation. Reviewer: Senior Accountant or above. Material reconciling items reviewed.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Low Risk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Low balances, simple accounts, minimal activity. Reviewer: Senior Accountant. Summary review acceptable.</w:t>
            </w:r>
          </w:p>
        </w:tc>
      </w:tr>
    </w:tbl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Risk classification shall be reviewed annually by the Controller and updated for changes in account activity, materiality, and control environment.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5.4 Reconciliation Calendar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Accounting Manager shall publish a monthly reconciliation calendar specifying: the due date for preparation of each account reconciliation (typically Day [5-8] of the close), the due date for review completion (typically Day [8-10]), and the final certification deadline (before the financial statements are finalized). The reconciliation tool shall send automated reminders and escalation notifications.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5.5 Common Reconciliation Types</w:t>
      </w:r>
    </w:p>
    <w:p>
      <w:pPr>
        <w:pStyle w:val="Heading3"/>
        <w:spacing w:after="100" w:before="200"/>
      </w:pPr>
      <w:r>
        <w:rPr>
          <w:rFonts w:ascii="Georgia" w:cs="Georgia" w:eastAsia="Georgia" w:hAnsi="Georgia"/>
          <w:b/>
          <w:bCs/>
          <w:color w:val="444444"/>
          <w:sz w:val="22"/>
          <w:szCs w:val="22"/>
        </w:rPr>
        <w:t xml:space="preserve">5.5.1 Bank Reconciliation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Cash accounts are reconciled by comparing the GL balance to the bank statement balance. Reconciling items include: outstanding checks, deposits in transit, bank fees not yet recorded, and bank errors. Bank reconciliations are the most fraud-sensitive reconciliation and shall always be prepared by someone without check signing or payment initiation authority.</w:t>
      </w:r>
    </w:p>
    <w:p>
      <w:pPr>
        <w:pStyle w:val="Heading3"/>
        <w:spacing w:after="100" w:before="200"/>
      </w:pPr>
      <w:r>
        <w:rPr>
          <w:rFonts w:ascii="Georgia" w:cs="Georgia" w:eastAsia="Georgia" w:hAnsi="Georgia"/>
          <w:b/>
          <w:bCs/>
          <w:color w:val="444444"/>
          <w:sz w:val="22"/>
          <w:szCs w:val="22"/>
        </w:rPr>
        <w:t xml:space="preserve">5.5.2 Sub-Ledger to GL Reconciliation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Accounts with sub-ledgers (AR, AP, FA, inventory) are reconciled by comparing the GL control account to the sub-ledger total. Differences typically indicate: transactions posted to the GL but not the sub-ledger (or vice versa), timing differences in batch posting, and manual journal entries posted directly to the control account (which should be rare and controlled).</w:t>
      </w:r>
    </w:p>
    <w:p>
      <w:pPr>
        <w:pStyle w:val="Heading3"/>
        <w:spacing w:after="100" w:before="200"/>
      </w:pPr>
      <w:r>
        <w:rPr>
          <w:rFonts w:ascii="Georgia" w:cs="Georgia" w:eastAsia="Georgia" w:hAnsi="Georgia"/>
          <w:b/>
          <w:bCs/>
          <w:color w:val="444444"/>
          <w:sz w:val="22"/>
          <w:szCs w:val="22"/>
        </w:rPr>
        <w:t xml:space="preserve">5.5.3 Roll-Forward Reconciliation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Accounts without sub-ledgers (accruals, prepaids, reserves) are reconciled using a roll-forward approach: beginning balance + additions - reductions = ending balance. Each component shall be supported by source documentation. Roll-forwards are particularly important for reserve accounts where the beginning balance, provision, and utilization should all be verified.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6. Approval Authorities &amp; Thresholds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Reconciliation Decision</w:t>
            </w:r>
          </w:p>
        </w:tc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Threshold</w:t>
            </w:r>
          </w:p>
        </w:tc>
        <w:tc>
          <w:tcPr>
            <w:tcW w:type="dxa" w:w="45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Approver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Reconciliation preparation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 accounts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Assigned preparer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Reconciliation review and certification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 accounts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Assigned reviewer (per risk level)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Write-off of unreconciled differences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&lt; $1,000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Accounting Manager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Write-off of unreconciled differences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$1,000 - $10,000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Write-off of unreconciled differences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&gt; $10,000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CFO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 exclusion from reconciliation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 (documented)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Risk classification change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Stale item exception (beyond aging threshold)</w:t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All</w:t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Controller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7. Exceptions &amp; Escalation</w:t>
      </w:r>
    </w:p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Reconciliations not completed by the calendar deadline shall be escalated: Day 1 past due → Accounting Manager notified, Day 3 past due → Controller notified, Day 5 past due → CFO notified. Financial statements shall not be issued until all high-risk reconciliations are completed and reviewed. Unreconciled differences exceeding materiality thresholds must be resolved or accrued before the financial statements are finalized.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8. Compliance Monitoring &amp; Testing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Daily reconciliation completion dashboard (during close window)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Monthly reconciliation completion rate tracking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Monthly stale item aging report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Quarterly reconciliation quality review by the Controller (sample-based)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Annual SOX testing of reconciliation controls by Internal Audit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8.1 Key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Metric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Reconciliation completion rate (by deadline)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 completion rate (by deadline)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Stale reconciling items (&gt; threshold age)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Zero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Unreconciled write-offs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Declining trend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Audit adjustments from reconciliation failures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Zero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High-risk accounts reconciled by Day [5]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100%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9. Related Policies &amp; References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Financial Close &amp; Reporting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General Ledger &amp; Journal Entry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Cash &amp; Treasury Management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Internal Controls &amp; SOX Compliance Policy</w:t>
      </w:r>
    </w:p>
    <w:p>
      <w:pPr>
        <w:spacing w:after="80"/>
        <w:ind w:left="720"/>
      </w:pPr>
      <w:r>
        <w:rPr>
          <w:rFonts w:ascii="Calibri" w:cs="Calibri" w:eastAsia="Calibri" w:hAnsi="Calibri"/>
          <w:color w:val="D4AF37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Segregation of Duties Policy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10. Appendices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Appendix A — Reconciliation Template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Field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 number and name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GL account being reconciled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Period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Month/quarter being reconciled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GL balance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Balance per the general ledger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Supporting detail balance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Balance per sub-ledger, bank, or schedule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Reconciling items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Itemized list with description, amount, age, owner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Adjusted balance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GL minus reconciling items (should equal supporting detail)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Preparer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Name, date, certification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Reviewer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Name, date, certification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333333"/>
          <w:sz w:val="26"/>
          <w:szCs w:val="26"/>
        </w:rPr>
        <w:t xml:space="preserve">Appendix B — Reconciliation Risk Classification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Account Examples — High Risk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Account Examples — Medium Risk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Cash and bank accounts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Prepaid expenses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Accounts receivable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Other accrued liabilities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Revenue / deferred revenue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Fixed assets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Intercompany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Inventory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Income tax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Debt and lease obligations</w:t>
            </w:r>
          </w:p>
        </w:tc>
      </w:tr>
    </w:tbl>
    <w:p>
      <w:pPr>
        <w:pBdr>
          <w:left w:val="single" w:color="D4AF37" w:sz="8"/>
        </w:pBdr>
        <w:spacing w:after="200" w:before="100"/>
        <w:ind w:left="360"/>
      </w:pPr>
      <w:r>
        <w:rPr>
          <w:rFonts w:ascii="Calibri" w:cs="Calibri" w:eastAsia="Calibri" w:hAnsi="Calibri"/>
          <w:b/>
          <w:bCs/>
          <w:color w:val="D4AF37"/>
          <w:sz w:val="20"/>
          <w:szCs w:val="20"/>
        </w:rPr>
        <w:t xml:space="preserve">Note: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Risk classification considers balance magnitude, transaction volume, estimation complexity, and SOX significance.</w:t>
      </w:r>
    </w:p>
    <w:p>
      <w:r>
        <w:br w:type="page"/>
      </w:r>
    </w:p>
    <w:p>
      <w:pPr>
        <w:pStyle w:val="Heading1"/>
        <w:pBdr>
          <w:bottom w:val="single" w:color="D4AF37" w:sz="4"/>
        </w:pBdr>
        <w:spacing w:after="200" w:before="400"/>
      </w:pPr>
      <w:r>
        <w:rPr>
          <w:rFonts w:ascii="Georgia" w:cs="Georgia" w:eastAsia="Georgia" w:hAnsi="Georgia"/>
          <w:b/>
          <w:bCs/>
          <w:color w:val="0C0C0C"/>
          <w:sz w:val="32"/>
          <w:szCs w:val="32"/>
        </w:rPr>
        <w:t xml:space="preserve">Revision History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560"/>
      </w:tblGrid>
      <w:tr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Version</w:t>
            </w:r>
          </w:p>
        </w:tc>
        <w:tc>
          <w:tcPr>
            <w:tcW w:type="dxa" w:w="24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Date</w:t>
            </w:r>
          </w:p>
        </w:tc>
        <w:tc>
          <w:tcPr>
            <w:tcW w:type="dxa" w:w="45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1.0</w:t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[Effective Date]</w:t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Initial policy document</w:t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0"/>
        <w:jc w:val="both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Role</w:t>
            </w:r>
          </w:p>
        </w:tc>
        <w:tc>
          <w:tcPr>
            <w:tcW w:type="dxa" w:w="6160"/>
            <w:shd w:fill="0C0C0C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/>
                <w:bCs/>
                <w:color w:val="D4AF37"/>
                <w:sz w:val="20"/>
                <w:szCs w:val="20"/>
              </w:rPr>
              <w:t xml:space="preserve">Name / Signature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[Name], [Title]</w:t>
            </w:r>
          </w:p>
        </w:tc>
      </w:tr>
      <w:tr>
        <w:tc>
          <w:tcPr>
            <w:tcW w:type="dxa" w:w="320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Reviewed By</w:t>
            </w:r>
          </w:p>
        </w:tc>
        <w:tc>
          <w:tcPr>
            <w:tcW w:type="dxa" w:w="6160"/>
            <w:shd w:fill="F5F5F5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[Name], [Title]</w:t>
            </w:r>
          </w:p>
        </w:tc>
      </w:tr>
      <w:tr>
        <w:tc>
          <w:tcPr>
            <w:tcW w:type="dxa" w:w="320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Approved By</w:t>
            </w:r>
          </w:p>
        </w:tc>
        <w:tc>
          <w:tcPr>
            <w:tcW w:type="dxa" w:w="6160"/>
            <w:shd w:fill="FFFFFF" w:val="clear"/>
          </w:tcPr>
          <w:p>
            <w:pPr>
              <w:spacing w:after="60" w:before="60"/>
            </w:pPr>
            <w:r>
              <w:rPr>
                <w:rFonts w:ascii="Calibri" w:cs="Calibri" w:eastAsia="Calibri" w:hAnsi="Calibri"/>
                <w:b w:val="false"/>
                <w:bCs w:val="false"/>
                <w:color w:val="333333"/>
                <w:sz w:val="20"/>
                <w:szCs w:val="20"/>
              </w:rPr>
              <w:t xml:space="preserve">[CFO Name], Chief Financial Officer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2A2A" w:sz="2"/>
      </w:pBdr>
      <w:spacing w:before="100"/>
      <w:jc w:val="center"/>
    </w:pPr>
    <w:r>
      <w:rPr>
        <w:rFonts w:ascii="Calibri" w:cs="Calibri" w:eastAsia="Calibri" w:hAnsi="Calibri"/>
        <w:color w:val="9CA3AF"/>
        <w:sz w:val="16"/>
        <w:szCs w:val="16"/>
      </w:rPr>
      <w:t xml:space="preserve">Confidential — [Company Name]  |  Page </w:t>
    </w:r>
    <w:r>
      <w:rPr>
        <w:rFonts w:ascii="Calibri" w:cs="Calibri" w:eastAsia="Calibri" w:hAnsi="Calibri"/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CA3AF"/>
        <w:sz w:val="16"/>
        <w:szCs w:val="16"/>
      </w:rPr>
      <w:t xml:space="preserve"> of </w:t>
    </w:r>
    <w:r>
      <w:rPr>
        <w:rFonts w:ascii="Calibri" w:cs="Calibri" w:eastAsia="Calibri" w:hAnsi="Calibri"/>
        <w:color w:val="9CA3AF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color w:val="D4AF37"/>
        <w:sz w:val="16"/>
        <w:szCs w:val="16"/>
      </w:rPr>
      <w:t xml:space="preserve">  |  EFuturesCFO.com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9CA3AF"/>
        <w:sz w:val="16"/>
        <w:szCs w:val="16"/>
      </w:rPr>
      <w:t xml:space="preserve">[Company Name]</w:t>
    </w:r>
    <w:r>
      <w:rPr>
        <w:rFonts w:ascii="Calibri" w:cs="Calibri" w:eastAsia="Calibri" w:hAnsi="Calibri"/>
        <w:color w:val="9CA3AF"/>
        <w:sz w:val="16"/>
        <w:szCs w:val="16"/>
      </w:rPr>
      <w:t xml:space="preserve">  |  </w:t>
    </w:r>
    <w:r>
      <w:rPr>
        <w:rFonts w:ascii="Calibri" w:cs="Calibri" w:eastAsia="Calibri" w:hAnsi="Calibri"/>
        <w:i/>
        <w:iCs/>
        <w:color w:val="9CA3AF"/>
        <w:sz w:val="16"/>
        <w:szCs w:val="16"/>
      </w:rPr>
      <w:t xml:space="preserve">Balance Sheet Reconciliation Policy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Georgia" w:cs="Georgia" w:eastAsia="Georgia" w:hAnsi="Georgia"/>
      <w:b/>
      <w:bCs/>
      <w:color w:val="0C0C0C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Georgia" w:cs="Georgia" w:eastAsia="Georgia" w:hAnsi="Georgia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Georgia" w:cs="Georgia" w:eastAsia="Georgia" w:hAnsi="Georgia"/>
      <w:b/>
      <w:bCs/>
      <w:color w:val="444444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2026-07-13T16:52:40.388Z</dcterms:created>
  <dcterms:modified xsi:type="dcterms:W3CDTF">2026-07-13T16:52:40.402Z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