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Finance Talent &amp; Succession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Finance Talent and Succession Policy establishes the framework for developing, retaining, and planning succession for the finance function at [Company Name]. The policy ensures that the finance team has the skills, depth, and leadership pipeline to support the company's growth, maintain effective internal controls, and deliver strategic value to the organization.</w:t>
      </w:r>
    </w:p>
    <w:p>
      <w:pPr>
        <w:spacing w:after="150" w:before="0"/>
        <w:jc w:val="both"/>
      </w:pPr>
      <w:r>
        <w:rPr>
          <w:rFonts w:ascii="Calibri" w:cs="Calibri" w:eastAsia="Calibri" w:hAnsi="Calibri"/>
          <w:color w:val="333333"/>
          <w:sz w:val="22"/>
          <w:szCs w:val="22"/>
        </w:rPr>
        <w:t xml:space="preserve">This policy applies to all roles within the finance function including: accounting and financial reporting, FP&amp;A and strategic finance, treasury and cash management, tax, internal audit, and shared services. It covers talent development, performance management, succession planning, and workforce planning for the finance organization.</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Build a finance team with the technical skills, business acumen, and leadership capabilities to support [Company Name]'s strategic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succession readiness for all critical finance roles, including the CFO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Retain top finance talent through competitive compensation, development opportunities, and career paths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Develop the digital and analytical skills required for the future finance function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compliance with SOX requirements for finance competency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Create a diverse and inclusive finance organization reflecting [Company Name]'s values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Succession Plan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documented plan identifying potential successors for critical roles and their development path to readiness.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Critical Role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finance role whose vacancy would materially impact financial reporting, controls, or decision-making.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Ready Now</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successor who could assume the critical role within [0-6] months with minimal transition support.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Ready Next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successor who could assume the critical role within [1-2] years with targeted development.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High Potential (HiPo)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employee identified as having the ability, aspiration, and engagement to rise to senior leadership.</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Skills Matrix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framework documenting the required competencies for each finance role and the current proficiency of team members.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Individual Development Plan (IDP)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personalized plan for an employee's professional growth, including skills to develop, experiences to gain, and timeline.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Cross-Training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practice of training employees in functions beyond their primary role to build organizational depth.</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Bench Strength</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number and quality of internal candidates available to fill critical roles.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Competency Framework</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defined set of skills, knowledge, and behaviors required for success at each level of the finance organization.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Finance Competency Framework</w:t>
      </w:r>
    </w:p>
    <w:p>
      <w:pPr>
        <w:spacing w:after="150" w:before="0"/>
        <w:jc w:val="both"/>
      </w:pPr>
      <w:r>
        <w:rPr>
          <w:rFonts w:ascii="Calibri" w:cs="Calibri" w:eastAsia="Calibri" w:hAnsi="Calibri"/>
          <w:color w:val="333333"/>
          <w:sz w:val="22"/>
          <w:szCs w:val="22"/>
        </w:rPr>
        <w:t xml:space="preserve">[Company Name]'s finance function requires competencies across five dimensions: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Dimension</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Technical Accounting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GAAP expertise, financial reporting, tax, audit, and internal controls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Acumen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Understanding of [Company Name]'s business model, industry, customers, and competitive dynamics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Analytical and Digital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Data analysis, financial modeling, BI tools, ERP proficiency, and emerging technology (AI, automation)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Leadership and Communication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Team management, executive presence, stakeholder management, and written/verbal communication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Strategic Thinking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Long-range planning, M&amp;A analysis, capital allocation, and enterprise risk management</w:t>
            </w:r>
          </w:p>
        </w:tc>
      </w:tr>
    </w:tbl>
    <w:p>
      <w:pPr>
        <w:spacing w:after="150" w:before="0"/>
        <w:jc w:val="both"/>
      </w:pPr>
      <w:r>
        <w:rPr>
          <w:rFonts w:ascii="Calibri" w:cs="Calibri" w:eastAsia="Calibri" w:hAnsi="Calibri"/>
          <w:color w:val="333333"/>
          <w:sz w:val="22"/>
          <w:szCs w:val="22"/>
        </w:rPr>
        <w:t xml:space="preserve">Proficiency expectations increase with seniority: Staff Accountants focus on technical accuracy, Managers add business context, Directors add strategic perspective, and VPs/CFO integrate all five dimensions at the highest level.</w:t>
      </w:r>
    </w:p>
    <w:p>
      <w:pPr>
        <w:pStyle w:val="Heading2"/>
        <w:spacing w:after="150" w:before="300"/>
      </w:pPr>
      <w:r>
        <w:rPr>
          <w:rFonts w:ascii="Georgia" w:cs="Georgia" w:eastAsia="Georgia" w:hAnsi="Georgia"/>
          <w:b/>
          <w:bCs/>
          <w:color w:val="333333"/>
          <w:sz w:val="26"/>
          <w:szCs w:val="26"/>
        </w:rPr>
        <w:t xml:space="preserve">3.2 Critical Role Identification</w:t>
      </w:r>
    </w:p>
    <w:p>
      <w:pPr>
        <w:spacing w:after="150" w:before="0"/>
        <w:jc w:val="both"/>
      </w:pPr>
      <w:r>
        <w:rPr>
          <w:rFonts w:ascii="Calibri" w:cs="Calibri" w:eastAsia="Calibri" w:hAnsi="Calibri"/>
          <w:color w:val="333333"/>
          <w:sz w:val="22"/>
          <w:szCs w:val="22"/>
        </w:rPr>
        <w:t xml:space="preserve">The following finance roles are designated as critical and require documented succession plans: CFO, Controller, VP Tax, Treasurer, VP FP&amp;A, VP Internal Audit, and any other role designated by the CFO. Critical role designation considers: impact of vacancy on financial reporting and controls, regulatory and SOX implications, specialized knowledge requirements, and market scarcity of qualified candidates.</w:t>
      </w:r>
    </w:p>
    <w:p>
      <w:pPr>
        <w:pStyle w:val="Heading2"/>
        <w:spacing w:after="150" w:before="300"/>
      </w:pPr>
      <w:r>
        <w:rPr>
          <w:rFonts w:ascii="Georgia" w:cs="Georgia" w:eastAsia="Georgia" w:hAnsi="Georgia"/>
          <w:b/>
          <w:bCs/>
          <w:color w:val="333333"/>
          <w:sz w:val="26"/>
          <w:szCs w:val="26"/>
        </w:rPr>
        <w:t xml:space="preserve">3.3 Succession Planning</w:t>
      </w:r>
    </w:p>
    <w:p>
      <w:pPr>
        <w:spacing w:after="150" w:before="0"/>
        <w:jc w:val="both"/>
      </w:pPr>
      <w:r>
        <w:rPr>
          <w:rFonts w:ascii="Calibri" w:cs="Calibri" w:eastAsia="Calibri" w:hAnsi="Calibri"/>
          <w:color w:val="333333"/>
          <w:sz w:val="22"/>
          <w:szCs w:val="22"/>
        </w:rPr>
        <w:t xml:space="preserve">The CFO shall maintain succession plans for all critical finance roles. Each plan shall identify: at least one Ready Now successor and one Ready Next successor, the development gaps for each successor and the plan to close them, emergency succession (who assumes the role immediately if the incumbent is suddenly unavailable), and external market assessment (availability and cost of external candidates). Succession plans shall be reviewed with the CHRO semi-annually and presented to the Compensation Committee annually for the CFO role.</w:t>
      </w:r>
    </w:p>
    <w:p>
      <w:pPr>
        <w:pStyle w:val="Heading2"/>
        <w:spacing w:after="150" w:before="300"/>
      </w:pPr>
      <w:r>
        <w:rPr>
          <w:rFonts w:ascii="Georgia" w:cs="Georgia" w:eastAsia="Georgia" w:hAnsi="Georgia"/>
          <w:b/>
          <w:bCs/>
          <w:color w:val="333333"/>
          <w:sz w:val="26"/>
          <w:szCs w:val="26"/>
        </w:rPr>
        <w:t xml:space="preserve">3.4 Retention Strategy</w:t>
      </w:r>
    </w:p>
    <w:p>
      <w:pPr>
        <w:spacing w:after="150" w:before="0"/>
        <w:jc w:val="both"/>
      </w:pPr>
      <w:r>
        <w:rPr>
          <w:rFonts w:ascii="Calibri" w:cs="Calibri" w:eastAsia="Calibri" w:hAnsi="Calibri"/>
          <w:color w:val="333333"/>
          <w:sz w:val="22"/>
          <w:szCs w:val="22"/>
        </w:rPr>
        <w:t xml:space="preserve">[Company Name] shall actively retain top finance talent through: competitive total compensation (benchmarked annually to the 50th-75th percentile of relevant peer group), meaningful equity participation for senior finance leaders, structured career paths with visible advancement opportunities, investment in professional development (CPA, CMA, CFA support; executive education), and a culture of intellectual challenge and impact.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finance talent strategy and succession planning. Reviews critical role succession annually. Develops direct reports.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CHRO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Partners with CFO on talent strategy. Provides compensation benchmarking. Supports succession planning methodology.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Develops accounting and reporting team. Identifies HiPo talent. Manages cross-training program.</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Finance Leaders (VPs/Directors)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Develop their teams. Create IDPs for direct reports. Participate in succession planning. Identify retention risks.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HR Business Partner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Supports finance recruiting, performance management, and development programs. Facilitates talent reviews.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Compensation Committee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CFO succession plan annually. Approves executive finance compensation.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 Audit Committee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Oversees CFO succession readiness. Evaluates finance team capability during Audit Committee interactions.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Annual Talent Review</w:t>
      </w:r>
    </w:p>
    <w:p>
      <w:pPr>
        <w:spacing w:after="150" w:before="0"/>
        <w:jc w:val="both"/>
      </w:pPr>
      <w:r>
        <w:rPr>
          <w:rFonts w:ascii="Calibri" w:cs="Calibri" w:eastAsia="Calibri" w:hAnsi="Calibri"/>
          <w:color w:val="333333"/>
          <w:sz w:val="22"/>
          <w:szCs w:val="22"/>
        </w:rPr>
        <w:t xml:space="preserve">The CFO shall conduct an annual talent review of the finance organization: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Each finance leader assesses their team members on: performance (results delivered), potential (ability to grow 1-2 levels), and readiness (for the next role)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Finance leaders present their assessments to the CFO in a calibration session</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The CFO and CHRO identify: HiPo talent for accelerated development, succession candidates for critical roles, retention risks requiring intervention, and performance issues requiring action</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Development plans are created or updated for all succession candidates and HiPos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Results are summarized for the Compensation Committee (CFO and direct report succession)</w:t>
      </w:r>
    </w:p>
    <w:p>
      <w:pPr>
        <w:pStyle w:val="Heading2"/>
        <w:spacing w:after="150" w:before="300"/>
      </w:pPr>
      <w:r>
        <w:rPr>
          <w:rFonts w:ascii="Georgia" w:cs="Georgia" w:eastAsia="Georgia" w:hAnsi="Georgia"/>
          <w:b/>
          <w:bCs/>
          <w:color w:val="333333"/>
          <w:sz w:val="26"/>
          <w:szCs w:val="26"/>
        </w:rPr>
        <w:t xml:space="preserve">5.2 Skills Development</w:t>
      </w:r>
    </w:p>
    <w:p>
      <w:pPr>
        <w:pStyle w:val="Heading3"/>
        <w:spacing w:after="100" w:before="200"/>
      </w:pPr>
      <w:r>
        <w:rPr>
          <w:rFonts w:ascii="Georgia" w:cs="Georgia" w:eastAsia="Georgia" w:hAnsi="Georgia"/>
          <w:b/>
          <w:bCs/>
          <w:color w:val="444444"/>
          <w:sz w:val="22"/>
          <w:szCs w:val="22"/>
        </w:rPr>
        <w:t xml:space="preserve">5.2.1 Technical Skills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CPA, CMA, CFA certification support (exam fees, study materials, study time)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Continuing professional education (CPE) tracking and compliance (40 hours/year for CPAs)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New accounting standards training (delivered by the Controller or Technical Accounting)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treasury, and specialized domain training</w:t>
      </w:r>
    </w:p>
    <w:p>
      <w:pPr>
        <w:pStyle w:val="Heading3"/>
        <w:spacing w:after="100" w:before="200"/>
      </w:pPr>
      <w:r>
        <w:rPr>
          <w:rFonts w:ascii="Georgia" w:cs="Georgia" w:eastAsia="Georgia" w:hAnsi="Georgia"/>
          <w:b/>
          <w:bCs/>
          <w:color w:val="444444"/>
          <w:sz w:val="22"/>
          <w:szCs w:val="22"/>
        </w:rPr>
        <w:t xml:space="preserve">5.2.2 Digital and Analytical Skills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ERP power user training and certification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Data visualization and BI tool proficiency (Power BI, Tableau)</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modeling and advanced Excel skills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AI and automation literacy (understanding AI capabilities and limitations)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Python or SQL for finance analytics (for analytically-oriented roles)</w:t>
      </w:r>
    </w:p>
    <w:p>
      <w:pPr>
        <w:pStyle w:val="Heading3"/>
        <w:spacing w:after="100" w:before="200"/>
      </w:pPr>
      <w:r>
        <w:rPr>
          <w:rFonts w:ascii="Georgia" w:cs="Georgia" w:eastAsia="Georgia" w:hAnsi="Georgia"/>
          <w:b/>
          <w:bCs/>
          <w:color w:val="444444"/>
          <w:sz w:val="22"/>
          <w:szCs w:val="22"/>
        </w:rPr>
        <w:t xml:space="preserve">5.2.3 Leadership Development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Executive education programs (CFO-track candidates)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Cross-functional rotation opportunities (finance to operations, strategy, or business unit)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Mentorship program pairing senior leaders with emerging talent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External board and advisory opportunities (for senior leaders)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Presentation skills and executive communication coaching</w:t>
      </w:r>
    </w:p>
    <w:p>
      <w:pPr>
        <w:pStyle w:val="Heading2"/>
        <w:spacing w:after="150" w:before="300"/>
      </w:pPr>
      <w:r>
        <w:rPr>
          <w:rFonts w:ascii="Georgia" w:cs="Georgia" w:eastAsia="Georgia" w:hAnsi="Georgia"/>
          <w:b/>
          <w:bCs/>
          <w:color w:val="333333"/>
          <w:sz w:val="26"/>
          <w:szCs w:val="26"/>
        </w:rPr>
        <w:t xml:space="preserve">5.3 Cross-Training Program</w:t>
      </w:r>
    </w:p>
    <w:p>
      <w:pPr>
        <w:spacing w:after="150" w:before="0"/>
        <w:jc w:val="both"/>
      </w:pPr>
      <w:r>
        <w:rPr>
          <w:rFonts w:ascii="Calibri" w:cs="Calibri" w:eastAsia="Calibri" w:hAnsi="Calibri"/>
          <w:color w:val="333333"/>
          <w:sz w:val="22"/>
          <w:szCs w:val="22"/>
        </w:rPr>
        <w:t xml:space="preserve">The Controller shall maintain a cross-training program ensuring: every critical function has at least [2] qualified individuals, cross-training assignments rotate annually, and cross-trained backup capability is tested during vacation periods and simulated absences. Key cross-training pairs include: AP Manager ↔ AR Manager, Consolidation ↔ GL Accounting, Payroll ↔ Benefits Accounting, and Tax Compliance ↔ Tax Provision.</w:t>
      </w:r>
    </w:p>
    <w:p>
      <w:pPr>
        <w:pStyle w:val="Heading2"/>
        <w:spacing w:after="150" w:before="300"/>
      </w:pPr>
      <w:r>
        <w:rPr>
          <w:rFonts w:ascii="Georgia" w:cs="Georgia" w:eastAsia="Georgia" w:hAnsi="Georgia"/>
          <w:b/>
          <w:bCs/>
          <w:color w:val="333333"/>
          <w:sz w:val="26"/>
          <w:szCs w:val="26"/>
        </w:rPr>
        <w:t xml:space="preserve">5.4 Workforce Planning</w:t>
      </w:r>
    </w:p>
    <w:p>
      <w:pPr>
        <w:spacing w:after="150" w:before="0"/>
        <w:jc w:val="both"/>
      </w:pPr>
      <w:r>
        <w:rPr>
          <w:rFonts w:ascii="Calibri" w:cs="Calibri" w:eastAsia="Calibri" w:hAnsi="Calibri"/>
          <w:color w:val="333333"/>
          <w:sz w:val="22"/>
          <w:szCs w:val="22"/>
        </w:rPr>
        <w:t xml:space="preserve">The CFO shall maintain a [3]-year finance workforce plan aligned with the company's growth trajectory. The plan shall address: headcount projections by function (SSC, CoE, Business Partners), skill mix evolution (more analytical, less transactional as automation increases), build vs. buy decisions (develop internally vs. hire externally for new capabilities), geographic distribution (onshore, nearshore, offshore), and technology substitution (activities that will be automated and the resulting headcount impact).</w:t>
      </w:r>
    </w:p>
    <w:p>
      <w:pPr>
        <w:pStyle w:val="Heading2"/>
        <w:spacing w:after="150" w:before="300"/>
      </w:pPr>
      <w:r>
        <w:rPr>
          <w:rFonts w:ascii="Georgia" w:cs="Georgia" w:eastAsia="Georgia" w:hAnsi="Georgia"/>
          <w:b/>
          <w:bCs/>
          <w:color w:val="333333"/>
          <w:sz w:val="26"/>
          <w:szCs w:val="26"/>
        </w:rPr>
        <w:t xml:space="preserve">5.5 Performance Management</w:t>
      </w:r>
    </w:p>
    <w:p>
      <w:pPr>
        <w:spacing w:after="150" w:before="0"/>
        <w:jc w:val="both"/>
      </w:pPr>
      <w:r>
        <w:rPr>
          <w:rFonts w:ascii="Calibri" w:cs="Calibri" w:eastAsia="Calibri" w:hAnsi="Calibri"/>
          <w:color w:val="333333"/>
          <w:sz w:val="22"/>
          <w:szCs w:val="22"/>
        </w:rPr>
        <w:t xml:space="preserve">Finance team performance management shall: align individual goals to finance function and company objectives, include both what is delivered (results) and how it is delivered (behaviors/competencies), incorporate control and compliance objectives (not just financial targets), differentiate performance meaningfully (avoid grade inflation), and connect to compensation and development decisions transparently.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Talent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Critical role designation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Succession plan approval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CFO direct reports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Compensation Committee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Succession plan approval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Other critical roles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External executive search engagement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 senior finance hires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CHRO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Retention package (above-standard)</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CHRO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Professional development investment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$10K per individual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Headcount above plan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CEO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Organizational restructuring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Material changes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CEO + Board notification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If a critical role becomes vacant without a Ready Now successor, the CFO shall: implement the emergency succession plan immediately, engage an executive search firm within [5] business days, evaluate whether interim external support (consulting controller, interim CFO) is needed, and notify the Audit Committee if the vacancy affects financial reporting or SOX compliance. The target time to fill a critical finance role is [90] days.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Semi-annual succession plan review by CFO and CHRO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talent review calibration session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skills matrix update and gap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compensation benchmarking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retention risk monitoring (voluntary turnover, engagement survey results)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cross-training coverage verification</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Critical role succession coverage (Ready Now)</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have at least 1 successor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Finance voluntary turnover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Below industry benchmark</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HiPo retention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&gt; [90%]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promotion rate for critical roles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&gt; [60%]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CPE compliance (licensed professionals)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Cross-training coverage (critical functions)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have qualified backup</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Time to fill critical roles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[90]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Employee engagement score (finance)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Above company average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Controls &amp; SOX Compliance Policy (competency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Equity Compensation Administration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Payroll Processing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Company Talent Management Policy (HR)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SOX Section 302 (CEO/CFO competence to evaluate controls)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Finance Skills Matrix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Competency</w:t>
            </w:r>
          </w:p>
        </w:tc>
        <w:tc>
          <w:tcPr>
            <w:tcW w:type="dxa" w:w="2400"/>
            <w:shd w:fill="0C0C0C" w:val="clear"/>
          </w:tcPr>
          <w:p>
            <w:pPr>
              <w:spacing w:after="60" w:before="60"/>
            </w:pPr>
            <w:r>
              <w:rPr>
                <w:rFonts w:ascii="Calibri" w:cs="Calibri" w:eastAsia="Calibri" w:hAnsi="Calibri"/>
                <w:b/>
                <w:bCs/>
                <w:color w:val="D4AF37"/>
                <w:sz w:val="20"/>
                <w:szCs w:val="20"/>
              </w:rPr>
              <w:t xml:space="preserve">Staff</w:t>
            </w:r>
          </w:p>
        </w:tc>
        <w:tc>
          <w:tcPr>
            <w:tcW w:type="dxa" w:w="4560"/>
            <w:shd w:fill="0C0C0C" w:val="clear"/>
          </w:tcPr>
          <w:p>
            <w:pPr>
              <w:spacing w:after="60" w:before="60"/>
            </w:pPr>
            <w:r>
              <w:rPr>
                <w:rFonts w:ascii="Calibri" w:cs="Calibri" w:eastAsia="Calibri" w:hAnsi="Calibri"/>
                <w:b/>
                <w:bCs/>
                <w:color w:val="D4AF37"/>
                <w:sz w:val="20"/>
                <w:szCs w:val="20"/>
              </w:rPr>
              <w:t xml:space="preserve">Senior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GAAP Technical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Solid</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Expert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Business Acumen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Awareness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Understanding</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Analytical/Digital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Tool User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Power User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Leadership</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Individual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Mentor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Strategic</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Task Execution</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Project Mgmt</w:t>
            </w:r>
          </w:p>
        </w:tc>
      </w:tr>
    </w:tbl>
    <w:p>
      <w:pPr>
        <w:pStyle w:val="Heading2"/>
        <w:spacing w:after="150" w:before="300"/>
      </w:pPr>
      <w:r>
        <w:rPr>
          <w:rFonts w:ascii="Georgia" w:cs="Georgia" w:eastAsia="Georgia" w:hAnsi="Georgia"/>
          <w:b/>
          <w:bCs/>
          <w:color w:val="333333"/>
          <w:sz w:val="26"/>
          <w:szCs w:val="26"/>
        </w:rPr>
        <w:t xml:space="preserve">Appendix B — Succession Plan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Critical Role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Title and current incumbent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Emergency Successor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Who assumes the role immediately (interim)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Ready Now Successor(s)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current role, key strengths, development needs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Ready Next Successor(s)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current role, development plan, estimated timeline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Market Assessment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Availability, typical compensation, search timeline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Key Risks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What happens if no internal successor and search takes &gt; 90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Last Reviewed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Date and reviewer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Finance Talent &amp; Succession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2026-07-13T08:39:08.561Z</dcterms:created>
  <dcterms:modified xsi:type="dcterms:W3CDTF">2026-07-13T08:39:08.561Z</dcterms:modified>
</cp:coreProperties>
</file>

<file path=docProps/custom.xml><?xml version="1.0" encoding="utf-8"?>
<Properties xmlns="http://schemas.openxmlformats.org/officeDocument/2006/custom-properties" xmlns:vt="http://schemas.openxmlformats.org/officeDocument/2006/docPropsVTypes"/>
</file>