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Grant &amp; Government Funding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Grant and Government Funding Policy establishes the standards, procedures, and controls governing [Company Name]'s receipt, management, and reporting of government grants, subsidies, tax incentives, and other forms of government assistance. The policy ensures proper accounting, compliance with grant terms and conditions, and accurate reporting of government funding in financial statements.</w:t>
      </w:r>
    </w:p>
    <w:p>
      <w:pPr>
        <w:spacing w:after="150" w:before="0"/>
        <w:jc w:val="both"/>
      </w:pPr>
      <w:r>
        <w:rPr>
          <w:rFonts w:ascii="Calibri" w:cs="Calibri" w:eastAsia="Calibri" w:hAnsi="Calibri"/>
          <w:color w:val="333333"/>
          <w:sz w:val="22"/>
          <w:szCs w:val="22"/>
        </w:rPr>
        <w:t xml:space="preserve">This policy applies to all government funding received by [Company Name] including: federal, state, and local government grants, research and development grants, workforce development grants, tax increment financing (TIF), abatements and tax credits, government loans with below-market terms, and grants from quasi-governmental organizations.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accounting for government grants and assistance per applicable GAAP</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all grant terms, conditions, and reporting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audit-ready documentation for all government funding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grant clawback through proper compliance monitoring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Maximize available government funding opportunities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Accurately disclose government assistance in financial statements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Government Grant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transfer of resources (cash or non-cash) from a government entity to [Company Name] in exchange for compliance with specified conditions.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Conditional Grant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grant with a barrier to entitlement that must be overcome (performance requirement, matching requirement) before revenue/benefit is recognized.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Unconditional Grant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grant with no remaining barriers to entitlement once received.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Grant Clawback</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requirement to return grant funds if [Company Name] fails to meet specified conditions.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Cost Share / Match</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requirement that [Company Name] contribute a portion of the total project cost as a condition of receiving the grant.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Allowable Costs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Costs that may be charged to the grant per the terms of the award and applicable regulations (e.g., OMB Uniform Guidance for federal grants).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Single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organization-wide audit required for entities expending $750,000 or more in federal awards in a fiscal year.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IAS 20</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International Accounting Standard for government grants — used by analogy for US GAAP business entities (ASC does not have specific guidance for for-profit government grant accounting).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 Abatement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reduction in taxes owed in exchange for specified actions (investment, job creation, remediation).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Compliance Period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period during which [Company Name] must maintain compliance with grant conditions to retain the funding.</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Accounting for Government Grants</w:t>
      </w:r>
    </w:p>
    <w:p>
      <w:pPr>
        <w:spacing w:after="150" w:before="0"/>
        <w:jc w:val="both"/>
      </w:pPr>
      <w:r>
        <w:rPr>
          <w:rFonts w:ascii="Calibri" w:cs="Calibri" w:eastAsia="Calibri" w:hAnsi="Calibri"/>
          <w:color w:val="333333"/>
          <w:sz w:val="22"/>
          <w:szCs w:val="22"/>
        </w:rPr>
        <w:t xml:space="preserve">[Company Name] shall account for government grants by analogy to IAS 20 (the most commonly accepted framework for for-profit entities under US GAAP, as confirmed by ASC 105-10-05-2 allowing IAS reference when ASC is silent):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Grants related to income (reimbursement of expenses): recognized as a reduction of the related expense or as other income over the period in which the related costs are recognized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Grants related to assets (funding for capital expenditures): recognized as a reduction of the asset cost or as deferred income amortized over the useful life of the asset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Conditional grants: not recognized until the conditions are substantially met (the barrier to entitlement is overcome)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Forgivable loans: recognized as grant income when forgiveness is reasonably assured and conditions are met</w:t>
      </w:r>
    </w:p>
    <w:p>
      <w:pPr>
        <w:pStyle w:val="Heading2"/>
        <w:spacing w:after="150" w:before="300"/>
      </w:pPr>
      <w:r>
        <w:rPr>
          <w:rFonts w:ascii="Georgia" w:cs="Georgia" w:eastAsia="Georgia" w:hAnsi="Georgia"/>
          <w:b/>
          <w:bCs/>
          <w:color w:val="333333"/>
          <w:sz w:val="26"/>
          <w:szCs w:val="26"/>
        </w:rPr>
        <w:t xml:space="preserve">3.2 Grant Compliance</w:t>
      </w:r>
    </w:p>
    <w:p>
      <w:pPr>
        <w:spacing w:after="150" w:before="0"/>
        <w:jc w:val="both"/>
      </w:pPr>
      <w:r>
        <w:rPr>
          <w:rFonts w:ascii="Calibri" w:cs="Calibri" w:eastAsia="Calibri" w:hAnsi="Calibri"/>
          <w:color w:val="333333"/>
          <w:sz w:val="22"/>
          <w:szCs w:val="22"/>
        </w:rPr>
        <w:t xml:space="preserve">The Grant Manager shall ensure compliance with all grant terms including: use of funds for the specified purpose only, achievement of performance milestones (job creation, investment thresholds), reporting requirements (financial reports, progress reports, audit reports), record retention per the grant agreement (typically 3-7 years after grant closeout), and compliance with applicable regulations (OMB Uniform Guidance for federal grants, state-specific requirements).</w:t>
      </w:r>
    </w:p>
    <w:p>
      <w:pPr>
        <w:pStyle w:val="Heading2"/>
        <w:spacing w:after="150" w:before="300"/>
      </w:pPr>
      <w:r>
        <w:rPr>
          <w:rFonts w:ascii="Georgia" w:cs="Georgia" w:eastAsia="Georgia" w:hAnsi="Georgia"/>
          <w:b/>
          <w:bCs/>
          <w:color w:val="333333"/>
          <w:sz w:val="26"/>
          <w:szCs w:val="26"/>
        </w:rPr>
        <w:t xml:space="preserve">3.3 Grant Application and Acceptance</w:t>
      </w:r>
    </w:p>
    <w:p>
      <w:pPr>
        <w:spacing w:after="150" w:before="0"/>
        <w:jc w:val="both"/>
      </w:pPr>
      <w:r>
        <w:rPr>
          <w:rFonts w:ascii="Calibri" w:cs="Calibri" w:eastAsia="Calibri" w:hAnsi="Calibri"/>
          <w:color w:val="333333"/>
          <w:sz w:val="22"/>
          <w:szCs w:val="22"/>
        </w:rPr>
        <w:t xml:space="preserve">All government grant applications shall be: reviewed by Legal for terms and conditions before submission, approved by the CFO before application (commitment to comply with conditions), and evaluated for financial impact (net benefit after compliance costs). Grants shall not be accepted if the compliance burden exceeds the funding benefit or if the conditions conflict with [Company Name]'s business plans.</w:t>
      </w:r>
    </w:p>
    <w:p>
      <w:pPr>
        <w:pStyle w:val="Heading2"/>
        <w:spacing w:after="150" w:before="300"/>
      </w:pPr>
      <w:r>
        <w:rPr>
          <w:rFonts w:ascii="Georgia" w:cs="Georgia" w:eastAsia="Georgia" w:hAnsi="Georgia"/>
          <w:b/>
          <w:bCs/>
          <w:color w:val="333333"/>
          <w:sz w:val="26"/>
          <w:szCs w:val="26"/>
        </w:rPr>
        <w:t xml:space="preserve">3.4 ASC 832 Disclosure</w:t>
      </w:r>
    </w:p>
    <w:p>
      <w:pPr>
        <w:spacing w:after="150" w:before="0"/>
        <w:jc w:val="both"/>
      </w:pPr>
      <w:r>
        <w:rPr>
          <w:rFonts w:ascii="Calibri" w:cs="Calibri" w:eastAsia="Calibri" w:hAnsi="Calibri"/>
          <w:color w:val="333333"/>
          <w:sz w:val="22"/>
          <w:szCs w:val="22"/>
        </w:rPr>
        <w:t xml:space="preserve">[Company Name] shall comply with ASC 832 (Government Assistance) requiring disclosure of: the nature and significant terms of government assistance transactions, the accounting policy used, the financial statement line items affected, and the amounts recognized (including any amounts not yet recognized). These disclosures apply to all material government assistance received.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grant applications. Reviews grant compliance status quarterly. Approves grant accounting treatment.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Determines accounting treatment for each grant. Reviews grant-related journal entries. Ensures ASC 832 disclosure compliance.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Grant Manager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grant applications, compliance, and reporting. Tracks milestone achievement. Maintains grant files.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Evaluates tax credits and incentives. Files required applications for tax-based incentives. Monitors compliance periods.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grant agreements for terms, conditions, and clawback provisions. Advises on regulatory compliance.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Supports workforce-related grant compliance (job creation, training hour requirements). Provides employment data.</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Facilities / Operations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Supports investment-related grant compliance (capital expenditure tracking, location requirements).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grant compliance periodically. Supports Single Audit if required. Reviews grant documentation.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Grant Lifecycle Management</w:t>
      </w:r>
    </w:p>
    <w:p>
      <w:pPr>
        <w:pStyle w:val="Heading3"/>
        <w:spacing w:after="100" w:before="200"/>
      </w:pPr>
      <w:r>
        <w:rPr>
          <w:rFonts w:ascii="Georgia" w:cs="Georgia" w:eastAsia="Georgia" w:hAnsi="Georgia"/>
          <w:b/>
          <w:bCs/>
          <w:color w:val="444444"/>
          <w:sz w:val="22"/>
          <w:szCs w:val="22"/>
        </w:rPr>
        <w:t xml:space="preserve">5.1.1 Application Phase</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Grant opportunity identified (proactively through monitoring or reactively through solicitation)</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Grant Manager prepares the application with input from relevant departments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Legal reviews terms and conditions; identifies compliance obligations and clawback risks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Controller determines preliminary accounting treatment</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CFO approves the application</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Application submitted per the grantor's requirements and timeline</w:t>
      </w:r>
    </w:p>
    <w:p>
      <w:pPr>
        <w:pStyle w:val="Heading3"/>
        <w:spacing w:after="100" w:before="200"/>
      </w:pPr>
      <w:r>
        <w:rPr>
          <w:rFonts w:ascii="Georgia" w:cs="Georgia" w:eastAsia="Georgia" w:hAnsi="Georgia"/>
          <w:b/>
          <w:bCs/>
          <w:color w:val="444444"/>
          <w:sz w:val="22"/>
          <w:szCs w:val="22"/>
        </w:rPr>
        <w:t xml:space="preserve">5.1.2 Award and Setup Phase</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Grant award received and reviewed against the application</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Grant Manager sets up the grant in [grant tracking system] with: award amount, conditions, milestones, reporting deadlines, and compliance period</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Controller establishes the accounting treatment and GL coding</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Cost center or project code created to track grant-eligible expenditures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Compliance calendar established with all reporting and milestone deadlines</w:t>
      </w:r>
    </w:p>
    <w:p>
      <w:pPr>
        <w:pStyle w:val="Heading3"/>
        <w:spacing w:after="100" w:before="200"/>
      </w:pPr>
      <w:r>
        <w:rPr>
          <w:rFonts w:ascii="Georgia" w:cs="Georgia" w:eastAsia="Georgia" w:hAnsi="Georgia"/>
          <w:b/>
          <w:bCs/>
          <w:color w:val="444444"/>
          <w:sz w:val="22"/>
          <w:szCs w:val="22"/>
        </w:rPr>
        <w:t xml:space="preserve">5.1.3 Compliance Phase</w:t>
      </w:r>
    </w:p>
    <w:p>
      <w:pPr>
        <w:spacing w:after="150" w:before="0"/>
        <w:jc w:val="both"/>
      </w:pPr>
      <w:r>
        <w:rPr>
          <w:rFonts w:ascii="Calibri" w:cs="Calibri" w:eastAsia="Calibri" w:hAnsi="Calibri"/>
          <w:color w:val="333333"/>
          <w:sz w:val="22"/>
          <w:szCs w:val="22"/>
        </w:rPr>
        <w:t xml:space="preserve">During the grant period, the Grant Manager shall: track progress against performance milestones, ensure expenditures charged to the grant are allowable, prepare required financial and progress reports, maintain documentation supporting all grant expenditures, and alert the CFO immediately if a compliance risk is identified.</w:t>
      </w:r>
    </w:p>
    <w:p>
      <w:pPr>
        <w:pStyle w:val="Heading3"/>
        <w:spacing w:after="100" w:before="200"/>
      </w:pPr>
      <w:r>
        <w:rPr>
          <w:rFonts w:ascii="Georgia" w:cs="Georgia" w:eastAsia="Georgia" w:hAnsi="Georgia"/>
          <w:b/>
          <w:bCs/>
          <w:color w:val="444444"/>
          <w:sz w:val="22"/>
          <w:szCs w:val="22"/>
        </w:rPr>
        <w:t xml:space="preserve">5.1.4 Closeout Phase</w:t>
      </w:r>
    </w:p>
    <w:p>
      <w:pPr>
        <w:spacing w:after="150" w:before="0"/>
        <w:jc w:val="both"/>
      </w:pPr>
      <w:r>
        <w:rPr>
          <w:rFonts w:ascii="Calibri" w:cs="Calibri" w:eastAsia="Calibri" w:hAnsi="Calibri"/>
          <w:color w:val="333333"/>
          <w:sz w:val="22"/>
          <w:szCs w:val="22"/>
        </w:rPr>
        <w:t xml:space="preserve">Upon grant completion: final report submitted to the grantor, all grant funds reconciled (received vs. expended), excess funds returned (if required by grant terms), grant files archived per the Record Retention Policy, and post-award compliance period monitored until expiration.</w:t>
      </w:r>
    </w:p>
    <w:p>
      <w:pPr>
        <w:pStyle w:val="Heading2"/>
        <w:spacing w:after="150" w:before="300"/>
      </w:pPr>
      <w:r>
        <w:rPr>
          <w:rFonts w:ascii="Georgia" w:cs="Georgia" w:eastAsia="Georgia" w:hAnsi="Georgia"/>
          <w:b/>
          <w:bCs/>
          <w:color w:val="333333"/>
          <w:sz w:val="26"/>
          <w:szCs w:val="26"/>
        </w:rPr>
        <w:t xml:space="preserve">5.2 Tax Incentive Management</w:t>
      </w:r>
    </w:p>
    <w:p>
      <w:pPr>
        <w:pStyle w:val="Heading3"/>
        <w:spacing w:after="100" w:before="200"/>
      </w:pPr>
      <w:r>
        <w:rPr>
          <w:rFonts w:ascii="Georgia" w:cs="Georgia" w:eastAsia="Georgia" w:hAnsi="Georgia"/>
          <w:b/>
          <w:bCs/>
          <w:color w:val="444444"/>
          <w:sz w:val="22"/>
          <w:szCs w:val="22"/>
        </w:rPr>
        <w:t xml:space="preserve">5.2.1 Tax Credit Tracking</w:t>
      </w:r>
    </w:p>
    <w:p>
      <w:pPr>
        <w:spacing w:after="150" w:before="0"/>
        <w:jc w:val="both"/>
      </w:pPr>
      <w:r>
        <w:rPr>
          <w:rFonts w:ascii="Calibri" w:cs="Calibri" w:eastAsia="Calibri" w:hAnsi="Calibri"/>
          <w:color w:val="333333"/>
          <w:sz w:val="22"/>
          <w:szCs w:val="22"/>
        </w:rPr>
        <w:t xml:space="preserve">Tax shall maintain a register of all active tax incentive programs with: program name and granting authority, incentive type (credit, abatement, exemption), qualification criteria and compliance requirements, annual benefit amount, compliance period and expiration, and clawback provisions.</w:t>
      </w:r>
    </w:p>
    <w:p>
      <w:pPr>
        <w:pStyle w:val="Heading3"/>
        <w:spacing w:after="100" w:before="200"/>
      </w:pPr>
      <w:r>
        <w:rPr>
          <w:rFonts w:ascii="Georgia" w:cs="Georgia" w:eastAsia="Georgia" w:hAnsi="Georgia"/>
          <w:b/>
          <w:bCs/>
          <w:color w:val="444444"/>
          <w:sz w:val="22"/>
          <w:szCs w:val="22"/>
        </w:rPr>
        <w:t xml:space="preserve">5.2.2 Compliance Monitoring</w:t>
      </w:r>
    </w:p>
    <w:p>
      <w:pPr>
        <w:spacing w:after="150" w:before="0"/>
        <w:jc w:val="both"/>
      </w:pPr>
      <w:r>
        <w:rPr>
          <w:rFonts w:ascii="Calibri" w:cs="Calibri" w:eastAsia="Calibri" w:hAnsi="Calibri"/>
          <w:color w:val="333333"/>
          <w:sz w:val="22"/>
          <w:szCs w:val="22"/>
        </w:rPr>
        <w:t xml:space="preserve">For each incentive program, the responsible department shall: track compliance metrics (jobs, investment, wages) monthly, compare actual performance to commitment at least quarterly, escalate shortfalls to the CFO with remediation plan, and prepare annual compliance certifications for filing with the granting authority.</w:t>
      </w:r>
    </w:p>
    <w:p>
      <w:pPr>
        <w:pStyle w:val="Heading2"/>
        <w:spacing w:after="150" w:before="300"/>
      </w:pPr>
      <w:r>
        <w:rPr>
          <w:rFonts w:ascii="Georgia" w:cs="Georgia" w:eastAsia="Georgia" w:hAnsi="Georgia"/>
          <w:b/>
          <w:bCs/>
          <w:color w:val="333333"/>
          <w:sz w:val="26"/>
          <w:szCs w:val="26"/>
        </w:rPr>
        <w:t xml:space="preserve">5.3 Single Audit</w:t>
      </w:r>
    </w:p>
    <w:p>
      <w:pPr>
        <w:spacing w:after="150" w:before="0"/>
        <w:jc w:val="both"/>
      </w:pPr>
      <w:r>
        <w:rPr>
          <w:rFonts w:ascii="Calibri" w:cs="Calibri" w:eastAsia="Calibri" w:hAnsi="Calibri"/>
          <w:color w:val="333333"/>
          <w:sz w:val="22"/>
          <w:szCs w:val="22"/>
        </w:rPr>
        <w:t xml:space="preserve">If [Company Name] expends $750,000 or more in federal awards during a fiscal year, a Single Audit is required per the OMB Uniform Guidance (2 CFR 200). The Controller shall: identify all federal expenditures and determine Single Audit applicability, coordinate with the external auditor to include the Single Audit in the annual audit scope, prepare the Schedule of Expenditures of Federal Awards (SEFA), and support the auditor's testing of compliance and internal controls over federal programs.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Grant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Grant application submission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Grant acceptance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Legal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Grant accounting treatment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Expenditure charged to grant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Within grant terms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Grant Manager + Department Head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Grant compliance report submission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Grant Manager + Controller review</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Grant modification request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Legal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Grant clawback risk escalation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Grant Manager → CFO (immediate)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Tax incentive application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Tax Director +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If a grant compliance requirement cannot be met (e.g., job creation target shortfall), the Grant Manager shall: notify the CFO within [10] business days of identifying the risk, assess the clawback exposure and financial impact, consult Legal on remediation options (extension requests, good faith negotiations), and prepare a disclosure analysis for the Controller (contingent liability assessment per ASC 450). Grant funds shall never be spent on non-allowable costs, even temporarily.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expenditure tracking against grant budgets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milestone progress review with the CFO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compliance certification for each active grant/incentive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of grant accounting for continued appropriateness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Single Audit completion (if applicable)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Post-award compliance monitoring through the full compliance period</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Grant compliance reports filed on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Grant milestone achievement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On track for all commitments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Clawback events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Single Audit findings (if applicable)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 material findings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 incentive benefits captured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of eligible benefits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Grant ROI (benefit received / compliance cost)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Positive for all active grants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Compliance &amp; Planning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Fixed Asset &amp; Capitalization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Record Retention &amp; Document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IAS 20, Government Grants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832, Government Assistance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OMB Uniform Guidance (2 CFR 200)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450, Contingencies (clawback assessment)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Active Grant Register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Grant Name</w:t>
            </w:r>
          </w:p>
        </w:tc>
        <w:tc>
          <w:tcPr>
            <w:tcW w:type="dxa" w:w="2400"/>
            <w:shd w:fill="0C0C0C" w:val="clear"/>
          </w:tcPr>
          <w:p>
            <w:pPr>
              <w:spacing w:after="60" w:before="60"/>
            </w:pPr>
            <w:r>
              <w:rPr>
                <w:rFonts w:ascii="Calibri" w:cs="Calibri" w:eastAsia="Calibri" w:hAnsi="Calibri"/>
                <w:b/>
                <w:bCs/>
                <w:color w:val="D4AF37"/>
                <w:sz w:val="20"/>
                <w:szCs w:val="20"/>
              </w:rPr>
              <w:t xml:space="preserve">Grantor</w:t>
            </w:r>
          </w:p>
        </w:tc>
        <w:tc>
          <w:tcPr>
            <w:tcW w:type="dxa" w:w="4560"/>
            <w:shd w:fill="0C0C0C" w:val="clear"/>
          </w:tcPr>
          <w:p>
            <w:pPr>
              <w:spacing w:after="60" w:before="60"/>
            </w:pPr>
            <w:r>
              <w:rPr>
                <w:rFonts w:ascii="Calibri" w:cs="Calibri" w:eastAsia="Calibri" w:hAnsi="Calibri"/>
                <w:b/>
                <w:bCs/>
                <w:color w:val="D4AF37"/>
                <w:sz w:val="20"/>
                <w:szCs w:val="20"/>
              </w:rPr>
              <w:t xml:space="preserve">Award Amount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pStyle w:val="Heading2"/>
        <w:spacing w:after="150" w:before="300"/>
      </w:pPr>
      <w:r>
        <w:rPr>
          <w:rFonts w:ascii="Georgia" w:cs="Georgia" w:eastAsia="Georgia" w:hAnsi="Georgia"/>
          <w:b/>
          <w:bCs/>
          <w:color w:val="333333"/>
          <w:sz w:val="26"/>
          <w:szCs w:val="26"/>
        </w:rPr>
        <w:t xml:space="preserve">Appendix B — Tax Incentive Register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Program</w:t>
            </w:r>
          </w:p>
        </w:tc>
        <w:tc>
          <w:tcPr>
            <w:tcW w:type="dxa" w:w="2400"/>
            <w:shd w:fill="0C0C0C" w:val="clear"/>
          </w:tcPr>
          <w:p>
            <w:pPr>
              <w:spacing w:after="60" w:before="60"/>
            </w:pPr>
            <w:r>
              <w:rPr>
                <w:rFonts w:ascii="Calibri" w:cs="Calibri" w:eastAsia="Calibri" w:hAnsi="Calibri"/>
                <w:b/>
                <w:bCs/>
                <w:color w:val="D4AF37"/>
                <w:sz w:val="20"/>
                <w:szCs w:val="20"/>
              </w:rPr>
              <w:t xml:space="preserve">Granting Authority</w:t>
            </w:r>
          </w:p>
        </w:tc>
        <w:tc>
          <w:tcPr>
            <w:tcW w:type="dxa" w:w="4560"/>
            <w:shd w:fill="0C0C0C" w:val="clear"/>
          </w:tcPr>
          <w:p>
            <w:pPr>
              <w:spacing w:after="60" w:before="60"/>
            </w:pPr>
            <w:r>
              <w:rPr>
                <w:rFonts w:ascii="Calibri" w:cs="Calibri" w:eastAsia="Calibri" w:hAnsi="Calibri"/>
                <w:b/>
                <w:bCs/>
                <w:color w:val="D4AF37"/>
                <w:sz w:val="20"/>
                <w:szCs w:val="20"/>
              </w:rPr>
              <w:t xml:space="preserve">Annual Benefit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Grant &amp; Government Funding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2026-07-13T08:39:08.481Z</dcterms:created>
  <dcterms:modified xsi:type="dcterms:W3CDTF">2026-07-13T08:39:08.481Z</dcterms:modified>
</cp:coreProperties>
</file>

<file path=docProps/custom.xml><?xml version="1.0" encoding="utf-8"?>
<Properties xmlns="http://schemas.openxmlformats.org/officeDocument/2006/custom-properties" xmlns:vt="http://schemas.openxmlformats.org/officeDocument/2006/docPropsVTypes"/>
</file>