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Dividend &amp; Share Repurchase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Dividend and Share Repurchase Policy establishes the standards, procedures, and governance framework for [Company Name]'s capital return decisions including cash dividends, special dividends, and share repurchase programs. The policy ensures that capital return decisions are made in a disciplined manner, comply with legal and regulatory requirements, and balance shareholder returns with the company's growth, liquidity, and strategic needs.</w:t>
      </w:r>
    </w:p>
    <w:p>
      <w:pPr>
        <w:spacing w:after="150" w:before="0"/>
        <w:jc w:val="both"/>
      </w:pPr>
      <w:r>
        <w:rPr>
          <w:rFonts w:ascii="Calibri" w:cs="Calibri" w:eastAsia="Calibri" w:hAnsi="Calibri"/>
          <w:color w:val="333333"/>
          <w:sz w:val="22"/>
          <w:szCs w:val="22"/>
        </w:rPr>
        <w:t xml:space="preserve">This policy applies to all capital return activities including: regular quarterly or annual dividend declarations, special or extraordinary dividends, open market share repurchase programs, accelerated share repurchase (ASR) agreements, tender offers, and any other mechanism for returning capital to shareholders.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framework for consistent, sustainable capital return decisions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state corporate law, SEC regulations, and debt covenant restrictions on capital returns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adequate liquidity and financial flexibility after capital return commitments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insider trading violations in connection with share repurchase 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accounting for dividends and share repurchases per GAAP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capital return policies and activities to investors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Dividend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distribution of cash (or property) to shareholders from the company's earnings or retained earnings.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Record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date on which a shareholder must be registered to receive a declared dividend.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Ex-Dividend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first trading day on which the stock trades without the right to the declared dividend (typically one business day before the record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Payment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date on which the dividend is paid to shareholders of record.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Special Dividend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one-time, non-recurring dividend distribution, typically funded by an extraordinary event (asset sale, excess cash accumulation).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Share Repurchase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purchase of [Company Name]'s own shares from the open market or through negotiated transactions, reducing shares outstanding.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10b5-1 Repurchase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pre-arranged trading plan for share repurchases that provides an affirmative defense against insider trading claims.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Accelerated Share Repurchase — an agreement with an investment bank to purchase a large block of shares immediately, settled over time.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 Stock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Shares that have been repurchased and are held by the company, reducing shares outstanding for EPS calculation.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Payout Ratio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percentage of net income distributed as dividends (dividend per share / EPS).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Buyback Authorization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Board-approved authority to repurchase shares up to a specified dollar amount over a defined period.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Capital Return Philosophy</w:t>
      </w:r>
    </w:p>
    <w:p>
      <w:pPr>
        <w:spacing w:after="150" w:before="0"/>
        <w:jc w:val="both"/>
      </w:pPr>
      <w:r>
        <w:rPr>
          <w:rFonts w:ascii="Calibri" w:cs="Calibri" w:eastAsia="Calibri" w:hAnsi="Calibri"/>
          <w:color w:val="333333"/>
          <w:sz w:val="22"/>
          <w:szCs w:val="22"/>
        </w:rPr>
        <w:t xml:space="preserve">[Company Name]'s capital return policy prioritizes: maintaining investment-grade financial strength (or appropriate leverage for the industry), funding organic growth and strategic investments, and returning excess capital to shareholders through a combination of dividends and share repurchases. The target payout ratio (dividends + buybacks as a percentage of free cash flow) is [X-Y%], reviewed annually by the Board.</w:t>
      </w:r>
    </w:p>
    <w:p>
      <w:pPr>
        <w:pStyle w:val="Heading2"/>
        <w:spacing w:after="150" w:before="300"/>
      </w:pPr>
      <w:r>
        <w:rPr>
          <w:rFonts w:ascii="Georgia" w:cs="Georgia" w:eastAsia="Georgia" w:hAnsi="Georgia"/>
          <w:b/>
          <w:bCs/>
          <w:color w:val="333333"/>
          <w:sz w:val="26"/>
          <w:szCs w:val="26"/>
        </w:rPr>
        <w:t xml:space="preserve">3.2 Dividend Policy</w:t>
      </w:r>
    </w:p>
    <w:p>
      <w:pPr>
        <w:spacing w:after="150" w:before="0"/>
        <w:jc w:val="both"/>
      </w:pPr>
      <w:r>
        <w:rPr>
          <w:rFonts w:ascii="Calibri" w:cs="Calibri" w:eastAsia="Calibri" w:hAnsi="Calibri"/>
          <w:color w:val="333333"/>
          <w:sz w:val="22"/>
          <w:szCs w:val="22"/>
        </w:rPr>
        <w:t xml:space="preserve">[Company Name] targets a sustainable, growing regular dividend. The dividend shall be: set at a level that can be maintained through normal business cycle fluctuations, grown annually in line with earnings growth (targeting a payout ratio of [X-Y%]), funded from operating cash flow (not debt-funded under normal circumstances), and reviewed quarterly by the Board, with formal re-evaluation annually during the budget process. Dividend cuts should be avoided absent severe financial distress, as they damage investor confidence and often cause disproportionate stock price decline.</w:t>
      </w:r>
    </w:p>
    <w:p>
      <w:pPr>
        <w:pStyle w:val="Heading2"/>
        <w:spacing w:after="150" w:before="300"/>
      </w:pPr>
      <w:r>
        <w:rPr>
          <w:rFonts w:ascii="Georgia" w:cs="Georgia" w:eastAsia="Georgia" w:hAnsi="Georgia"/>
          <w:b/>
          <w:bCs/>
          <w:color w:val="333333"/>
          <w:sz w:val="26"/>
          <w:szCs w:val="26"/>
        </w:rPr>
        <w:t xml:space="preserve">3.3 Share Repurchase Policy</w:t>
      </w:r>
    </w:p>
    <w:p>
      <w:pPr>
        <w:spacing w:after="150" w:before="0"/>
        <w:jc w:val="both"/>
      </w:pPr>
      <w:r>
        <w:rPr>
          <w:rFonts w:ascii="Calibri" w:cs="Calibri" w:eastAsia="Calibri" w:hAnsi="Calibri"/>
          <w:color w:val="333333"/>
          <w:sz w:val="22"/>
          <w:szCs w:val="22"/>
        </w:rPr>
        <w:t xml:space="preserve">Share repurchases shall be: authorized by the Board (specifying maximum dollar amount and time period), executed in compliance with SEC Rule 10b-18 safe harbor conditions, conducted through a 10b5-1 plan during blackout periods and when management possesses MNPI, paused before material announcements and during blackout periods (unless covered by a 10b5-1 plan), and reported in the quarterly earnings release and 10-Q/10-K.</w:t>
      </w:r>
    </w:p>
    <w:p>
      <w:pPr>
        <w:pStyle w:val="Heading2"/>
        <w:spacing w:after="150" w:before="300"/>
      </w:pPr>
      <w:r>
        <w:rPr>
          <w:rFonts w:ascii="Georgia" w:cs="Georgia" w:eastAsia="Georgia" w:hAnsi="Georgia"/>
          <w:b/>
          <w:bCs/>
          <w:color w:val="333333"/>
          <w:sz w:val="26"/>
          <w:szCs w:val="26"/>
        </w:rPr>
        <w:t xml:space="preserve">3.4 Legal and Covenant Compliance</w:t>
      </w:r>
    </w:p>
    <w:p>
      <w:pPr>
        <w:spacing w:after="150" w:before="0"/>
        <w:jc w:val="both"/>
      </w:pPr>
      <w:r>
        <w:rPr>
          <w:rFonts w:ascii="Calibri" w:cs="Calibri" w:eastAsia="Calibri" w:hAnsi="Calibri"/>
          <w:color w:val="333333"/>
          <w:sz w:val="22"/>
          <w:szCs w:val="22"/>
        </w:rPr>
        <w:t xml:space="preserve">Before declaring a dividend or executing a share repurchase, the CFO shall verify: state law permits the distribution (typically requires positive retained earnings or surplus), debt covenants permit the distribution (restricted payment baskets, leverage tests), and the distribution does not impair the company's ability to meet obligations as they come due. Distributions that would cause covenant non-compliance are prohibited.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Declares dividends. Authorizes share repurchase programs. Sets capital return policy. Reviews payout ratios.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Recommends capital return levels to the Board. Verifies legal and covenant compliance. Oversees execution.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Executes share repurchase transactions. Manages 10b5-1 plan with broker. Coordinates dividend payment logistics.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Accounts for dividends and repurchases per GAAP. Records treasury stock. Prepares EPS calculations reflecting buybacks.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Rule 10b-18 compliance. Manages 10b5-1 plan legal requirements. Advises on insider trading implications.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Investor Relations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Communicates capital return policy to investors. Provides guidance on dividend and buyback expectations.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Transfer Agent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Processes dividend payments to registered shareholders. Maintains shareholder records.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Dividend Declaration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CFO prepares a dividend recommendation for the Board: proposed amount, record date, payment date, financial impact, and covenant compliance confirmation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Board discusses and votes on the dividend declaration at a scheduled Board meeting</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Board resolution is documented in the minutes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Press release issued announcing the dividend (amount, record date, payment date)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8-K filed if required (material dividend changes)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Transfer agent notified of the record date and payment instructions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Treasury funds the dividend payment account</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Dividend paid on the payment date</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Controller records the dividend: Dr. Retained Earnings (or Dividends Declared) / Cr. Dividends Payable (on declaration date); Dr. Dividends Payable / Cr. Cash (on payment date)</w:t>
      </w:r>
    </w:p>
    <w:p>
      <w:pPr>
        <w:pStyle w:val="Heading2"/>
        <w:spacing w:after="150" w:before="300"/>
      </w:pPr>
      <w:r>
        <w:rPr>
          <w:rFonts w:ascii="Georgia" w:cs="Georgia" w:eastAsia="Georgia" w:hAnsi="Georgia"/>
          <w:b/>
          <w:bCs/>
          <w:color w:val="333333"/>
          <w:sz w:val="26"/>
          <w:szCs w:val="26"/>
        </w:rPr>
        <w:t xml:space="preserve">5.2 Share Repurchase Execution</w:t>
      </w:r>
    </w:p>
    <w:p>
      <w:pPr>
        <w:pStyle w:val="Heading3"/>
        <w:spacing w:after="100" w:before="200"/>
      </w:pPr>
      <w:r>
        <w:rPr>
          <w:rFonts w:ascii="Georgia" w:cs="Georgia" w:eastAsia="Georgia" w:hAnsi="Georgia"/>
          <w:b/>
          <w:bCs/>
          <w:color w:val="444444"/>
          <w:sz w:val="22"/>
          <w:szCs w:val="22"/>
        </w:rPr>
        <w:t xml:space="preserve">5.2.1 Open Market Repurchases</w:t>
      </w:r>
    </w:p>
    <w:p>
      <w:pPr>
        <w:spacing w:after="150" w:before="0"/>
        <w:jc w:val="both"/>
      </w:pPr>
      <w:r>
        <w:rPr>
          <w:rFonts w:ascii="Calibri" w:cs="Calibri" w:eastAsia="Calibri" w:hAnsi="Calibri"/>
          <w:color w:val="333333"/>
          <w:sz w:val="22"/>
          <w:szCs w:val="22"/>
        </w:rPr>
        <w:t xml:space="preserve">Open market repurchases shall comply with SEC Rule 10b-18 safe harbor conditions: single broker per day, timing restrictions (not at market open or close), price limit (not exceeding the highest independent bid), and volume limit (not exceeding 25% of ADTV). The Treasurer shall maintain a daily repurchase log documenting compliance with each condition.</w:t>
      </w:r>
    </w:p>
    <w:p>
      <w:pPr>
        <w:pStyle w:val="Heading3"/>
        <w:spacing w:after="100" w:before="200"/>
      </w:pPr>
      <w:r>
        <w:rPr>
          <w:rFonts w:ascii="Georgia" w:cs="Georgia" w:eastAsia="Georgia" w:hAnsi="Georgia"/>
          <w:b/>
          <w:bCs/>
          <w:color w:val="444444"/>
          <w:sz w:val="22"/>
          <w:szCs w:val="22"/>
        </w:rPr>
        <w:t xml:space="preserve">5.2.2 10b5-1 Repurchase Plans</w:t>
      </w:r>
    </w:p>
    <w:p>
      <w:pPr>
        <w:spacing w:after="150" w:before="0"/>
        <w:jc w:val="both"/>
      </w:pPr>
      <w:r>
        <w:rPr>
          <w:rFonts w:ascii="Calibri" w:cs="Calibri" w:eastAsia="Calibri" w:hAnsi="Calibri"/>
          <w:color w:val="333333"/>
          <w:sz w:val="22"/>
          <w:szCs w:val="22"/>
        </w:rPr>
        <w:t xml:space="preserve">When management may possess MNPI or during blackout periods, repurchases shall only occur under a pre-established 10b5-1 plan that: is adopted in good faith when management does not possess MNPI, includes a cooling-off period before first trade, specifies the repurchase parameters (price limits, volume, timing), is managed by the broker without management direction during execution, and is not terminated and re-adopted in a pattern suggesting manipulation.</w:t>
      </w:r>
    </w:p>
    <w:p>
      <w:pPr>
        <w:pStyle w:val="Heading3"/>
        <w:spacing w:after="100" w:before="200"/>
      </w:pPr>
      <w:r>
        <w:rPr>
          <w:rFonts w:ascii="Georgia" w:cs="Georgia" w:eastAsia="Georgia" w:hAnsi="Georgia"/>
          <w:b/>
          <w:bCs/>
          <w:color w:val="444444"/>
          <w:sz w:val="22"/>
          <w:szCs w:val="22"/>
        </w:rPr>
        <w:t xml:space="preserve">5.2.3 Accelerated Share Repurchase</w:t>
      </w:r>
    </w:p>
    <w:p>
      <w:pPr>
        <w:spacing w:after="150" w:before="0"/>
        <w:jc w:val="both"/>
      </w:pPr>
      <w:r>
        <w:rPr>
          <w:rFonts w:ascii="Calibri" w:cs="Calibri" w:eastAsia="Calibri" w:hAnsi="Calibri"/>
          <w:color w:val="333333"/>
          <w:sz w:val="22"/>
          <w:szCs w:val="22"/>
        </w:rPr>
        <w:t xml:space="preserve">ASR transactions require: Board authorization covering the total ASR amount, CFO approval of the ASR terms and counterparty, Legal review of the ASR agreement (particularly settlement terms), and Controller review of the accounting treatment (ASC 505-30, Treasury Stock, and ASC 815 for the forward contract component).</w:t>
      </w:r>
    </w:p>
    <w:p>
      <w:pPr>
        <w:pStyle w:val="Heading2"/>
        <w:spacing w:after="150" w:before="300"/>
      </w:pPr>
      <w:r>
        <w:rPr>
          <w:rFonts w:ascii="Georgia" w:cs="Georgia" w:eastAsia="Georgia" w:hAnsi="Georgia"/>
          <w:b/>
          <w:bCs/>
          <w:color w:val="333333"/>
          <w:sz w:val="26"/>
          <w:szCs w:val="26"/>
        </w:rPr>
        <w:t xml:space="preserve">5.3 Accounting</w:t>
      </w:r>
    </w:p>
    <w:p>
      <w:pPr>
        <w:pStyle w:val="Heading3"/>
        <w:spacing w:after="100" w:before="200"/>
      </w:pPr>
      <w:r>
        <w:rPr>
          <w:rFonts w:ascii="Georgia" w:cs="Georgia" w:eastAsia="Georgia" w:hAnsi="Georgia"/>
          <w:b/>
          <w:bCs/>
          <w:color w:val="444444"/>
          <w:sz w:val="22"/>
          <w:szCs w:val="22"/>
        </w:rPr>
        <w:t xml:space="preserve">5.3.1 Dividend Accounting</w:t>
      </w:r>
    </w:p>
    <w:p>
      <w:pPr>
        <w:spacing w:after="150" w:before="0"/>
        <w:jc w:val="both"/>
      </w:pPr>
      <w:r>
        <w:rPr>
          <w:rFonts w:ascii="Calibri" w:cs="Calibri" w:eastAsia="Calibri" w:hAnsi="Calibri"/>
          <w:color w:val="333333"/>
          <w:sz w:val="22"/>
          <w:szCs w:val="22"/>
        </w:rPr>
        <w:t xml:space="preserve">Cash dividends are recorded as a reduction of retained earnings on the declaration date (when the legal obligation is created). The dividend payable is classified as a current liability until paid. Stock dividends follow ASC 505-20 guidance based on the size of the distribution.</w:t>
      </w:r>
    </w:p>
    <w:p>
      <w:pPr>
        <w:pStyle w:val="Heading3"/>
        <w:spacing w:after="100" w:before="200"/>
      </w:pPr>
      <w:r>
        <w:rPr>
          <w:rFonts w:ascii="Georgia" w:cs="Georgia" w:eastAsia="Georgia" w:hAnsi="Georgia"/>
          <w:b/>
          <w:bCs/>
          <w:color w:val="444444"/>
          <w:sz w:val="22"/>
          <w:szCs w:val="22"/>
        </w:rPr>
        <w:t xml:space="preserve">5.3.2 Share Repurchase Accounting</w:t>
      </w:r>
    </w:p>
    <w:p>
      <w:pPr>
        <w:spacing w:after="150" w:before="0"/>
        <w:jc w:val="both"/>
      </w:pPr>
      <w:r>
        <w:rPr>
          <w:rFonts w:ascii="Calibri" w:cs="Calibri" w:eastAsia="Calibri" w:hAnsi="Calibri"/>
          <w:color w:val="333333"/>
          <w:sz w:val="22"/>
          <w:szCs w:val="22"/>
        </w:rPr>
        <w:t xml:space="preserve">[Company Name] accounts for repurchased shares using the [cost method / constructive retirement method]. Under the cost method: repurchased shares are recorded as Treasury Stock at cost (a contra-equity account), and reissued shares adjust additional paid-in capital and retained earnings per the applicable method.</w:t>
      </w:r>
    </w:p>
    <w:p>
      <w:pPr>
        <w:pStyle w:val="Heading2"/>
        <w:spacing w:after="150" w:before="300"/>
      </w:pPr>
      <w:r>
        <w:rPr>
          <w:rFonts w:ascii="Georgia" w:cs="Georgia" w:eastAsia="Georgia" w:hAnsi="Georgia"/>
          <w:b/>
          <w:bCs/>
          <w:color w:val="333333"/>
          <w:sz w:val="26"/>
          <w:szCs w:val="26"/>
        </w:rPr>
        <w:t xml:space="preserve">5.4 Disclosure Requirements</w:t>
      </w:r>
    </w:p>
    <w:p>
      <w:pPr>
        <w:spacing w:after="150" w:before="0"/>
        <w:jc w:val="both"/>
      </w:pPr>
      <w:r>
        <w:rPr>
          <w:rFonts w:ascii="Calibri" w:cs="Calibri" w:eastAsia="Calibri" w:hAnsi="Calibri"/>
          <w:color w:val="333333"/>
          <w:sz w:val="22"/>
          <w:szCs w:val="22"/>
        </w:rPr>
        <w:t xml:space="preserve">Capital return activities shall be disclosed in: the quarterly earnings release (dividends declared and paid; shares repurchased, average price, and remaining authorization), 10-Q/10-K (monthly repurchase detail per Item 703 of Regulation S-K), and the proxy statement (capital allocation philosophy and payout ratios).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Capital Return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Regular dividend declaration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Special dividend declaration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Share repurchase authorization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Daily repurchase execution (within authorization)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Within Board parameters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10b5-1 plan adoption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ASR agreement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Dividend reinvestment plan (DRIP) changes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Suspension of dividend or buyback</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recommendation + Board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Share repurchases shall be immediately paused when: management becomes aware of MNPI not covered by a 10b5-1 plan, the stock enters a blackout period (unless 10b5-1 plan is in place), market conditions make Rule 10b-18 compliance impractical, or covenant compliance would be jeopardized. The Treasurer shall notify the CFO immediately when any pause condition is triggered. Resumption of repurchases requires CFO and General Counsel clearance.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Rule 10b-18 compliance log maintained by the Treasurer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repurchase activity summary to the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Board reporting on capital return activity and remaining authorization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covenant compliance check before dividend declaration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capital return policy review by the Board</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Rule 10b-18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Dividend payment on scheduled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Payout ratio (dividends + buybacks / FCF)</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[X-Y%] target range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Debt covenant compliance after distributions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10b5-1 plan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Shareholder return (TSR) vs. peers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 and benchmark</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Investor Relations &amp; Reg FD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 10b-18 (Safe Harbor for Repurchases)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 10b5-1 (Trading Plans)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505, Equity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Dividend Declaration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Retained earnings sufficient under state law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covenant restricted payment basket has capacity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flow forecast supports payment without liquidity stress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date, ex-date, and payment date coordinated with transfer agent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resolution documented in minutes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Press release and 8-K prepared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Transfer agent and Treasury notified of payment instructions</w:t>
      </w:r>
    </w:p>
    <w:p>
      <w:pPr>
        <w:pStyle w:val="Heading2"/>
        <w:spacing w:after="150" w:before="300"/>
      </w:pPr>
      <w:r>
        <w:rPr>
          <w:rFonts w:ascii="Georgia" w:cs="Georgia" w:eastAsia="Georgia" w:hAnsi="Georgia"/>
          <w:b/>
          <w:bCs/>
          <w:color w:val="333333"/>
          <w:sz w:val="26"/>
          <w:szCs w:val="26"/>
        </w:rPr>
        <w:t xml:space="preserve">Appendix B — Rule 10b-18 Daily Compliance 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Trade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Date of repurchase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Broker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Single broker used for the day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Shares purchased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Number of shares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Average price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Volume-weighted average price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Highest independent bid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Documented for price limit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ADTV (25% limit)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Average daily trading volume and limit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Timing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No trades in first/last 30 minutes confirmed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Dividend &amp; Share Repurchase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2026-07-13T08:39:08.419Z</dcterms:created>
  <dcterms:modified xsi:type="dcterms:W3CDTF">2026-07-13T08:39:08.419Z</dcterms:modified>
</cp:coreProperties>
</file>

<file path=docProps/custom.xml><?xml version="1.0" encoding="utf-8"?>
<Properties xmlns="http://schemas.openxmlformats.org/officeDocument/2006/custom-properties" xmlns:vt="http://schemas.openxmlformats.org/officeDocument/2006/docPropsVTypes"/>
</file>