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Shared Services &amp; Finance Operating Model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Shared Services and Finance Operating Model Policy establishes the governance framework for [Company Name]'s centralized and shared finance services. The policy defines how finance services are organized, delivered, measured, and continuously improved across the enterprise to maximize efficiency, quality, and strategic value of the finance function.</w:t>
      </w:r>
    </w:p>
    <w:p>
      <w:pPr>
        <w:spacing w:after="150" w:before="0"/>
        <w:jc w:val="both"/>
      </w:pPr>
      <w:r>
        <w:rPr>
          <w:rFonts w:ascii="Calibri" w:cs="Calibri" w:eastAsia="Calibri" w:hAnsi="Calibri"/>
          <w:color w:val="333333"/>
          <w:sz w:val="22"/>
          <w:szCs w:val="22"/>
        </w:rPr>
        <w:t xml:space="preserve">This policy applies to all finance shared services activities including: transaction processing (AP, AR, payroll, T&amp;E), financial reporting and consolidation, FP&amp;A support, tax compliance, treasury operations, and any other finance activity delivered through a shared services or center of excellence model.</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Define the finance operating model: which services are centralized, decentralized, or outsourced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service level agreements (SLAs) between shared services and business units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Create accountability for service quality through measurable performance metrics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Enable continuous improvement through process standardization and automation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Optimize the cost of finance operations while maintaining quality and control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scalable growth through a finance organization that can absorb volume without proportional headcount growth</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Shared Services Center (SSC)</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centralized organization that provides standardized, transactional finance services to multiple business units.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Center of Excellence (CoE)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centralized team providing specialized expertise in a finance discipline (tax, treasury, technical accounting).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Business Partner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finance professional embedded in or dedicated to a specific business unit, providing strategic finance support.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Service Level Agreement (SLA)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documented agreement defining the services provided, quality standards, response times, and escalation procedures.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Service Catalog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complete list of finance services offered by the SSC with descriptions, SLAs, and service owners.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Chargeback</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internal charge from the SSC to business units for services consumed, based on agreed-upon rates or allocation methodology.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Key Performance Indicator (KPI)</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quantifiable measure used to evaluate the performance of the shared services function.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Process Standardization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practice of defining and enforcing a single standard process for each finance activity across all business units.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Tier Model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service delivery model categorizing inquiries by complexity: Tier 0 (self-service), Tier 1 (transactional), Tier 2 (specialist), Tier 3 (expert/strategic).</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Retained Organization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finance team that remains within business units, typically performing business partnering, strategic analysis, and decision support.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Finance Operating Model</w:t>
      </w:r>
    </w:p>
    <w:p>
      <w:pPr>
        <w:spacing w:after="150" w:before="0"/>
        <w:jc w:val="both"/>
      </w:pPr>
      <w:r>
        <w:rPr>
          <w:rFonts w:ascii="Calibri" w:cs="Calibri" w:eastAsia="Calibri" w:hAnsi="Calibri"/>
          <w:color w:val="333333"/>
          <w:sz w:val="22"/>
          <w:szCs w:val="22"/>
        </w:rPr>
        <w:t xml:space="preserve">[Company Name]'s finance function is organized into three delivery tiers: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Tier</w:t>
            </w:r>
          </w:p>
        </w:tc>
        <w:tc>
          <w:tcPr>
            <w:tcW w:type="dxa" w:w="6160"/>
            <w:shd w:fill="0C0C0C" w:val="clear"/>
          </w:tcPr>
          <w:p>
            <w:pPr>
              <w:spacing w:after="60" w:before="60"/>
            </w:pPr>
            <w:r>
              <w:rPr>
                <w:rFonts w:ascii="Calibri" w:cs="Calibri" w:eastAsia="Calibri" w:hAnsi="Calibri"/>
                <w:b/>
                <w:bCs/>
                <w:color w:val="D4AF37"/>
                <w:sz w:val="20"/>
                <w:szCs w:val="20"/>
              </w:rPr>
              <w:t xml:space="preserve">Description and Activities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Shared Services Center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High-volume, standardized transactional activities: AP processing, AR and cash application, payroll processing, T&amp;E processing, fixed asset accounting, intercompany accounting, GL maintenance and reconciliation, and standard financial reporting.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Centers of Excellence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Specialized activities requiring deep expertise: tax compliance and planning, treasury and cash management, technical accounting and policy, internal controls and SOX, and M&amp;A and corporate development support.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Business Partners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Strategic activities embedded in business units: FP&amp;A and budgeting, business case development, strategic decision support, pricing and profitability analysis, and management reporting and commentary.</w:t>
            </w:r>
          </w:p>
        </w:tc>
      </w:tr>
    </w:tbl>
    <w:p>
      <w:pPr>
        <w:pStyle w:val="Heading2"/>
        <w:spacing w:after="150" w:before="300"/>
      </w:pPr>
      <w:r>
        <w:rPr>
          <w:rFonts w:ascii="Georgia" w:cs="Georgia" w:eastAsia="Georgia" w:hAnsi="Georgia"/>
          <w:b/>
          <w:bCs/>
          <w:color w:val="333333"/>
          <w:sz w:val="26"/>
          <w:szCs w:val="26"/>
        </w:rPr>
        <w:t xml:space="preserve">3.2 Service Level Agreements</w:t>
      </w:r>
    </w:p>
    <w:p>
      <w:pPr>
        <w:spacing w:after="150" w:before="0"/>
        <w:jc w:val="both"/>
      </w:pPr>
      <w:r>
        <w:rPr>
          <w:rFonts w:ascii="Calibri" w:cs="Calibri" w:eastAsia="Calibri" w:hAnsi="Calibri"/>
          <w:color w:val="333333"/>
          <w:sz w:val="22"/>
          <w:szCs w:val="22"/>
        </w:rPr>
        <w:t xml:space="preserve">The SSC shall maintain SLAs with each business unit covering: services provided (per the service catalog), quality standards (accuracy rates, error tolerances), turnaround times (invoice processing, report delivery, inquiry response), escalation procedures for service failures, and reporting frequency (monthly performance dashboard). SLAs shall be reviewed and renewed annually. Business units may request modified SLAs with CFO approval if their requirements differ from the standard.</w:t>
      </w:r>
    </w:p>
    <w:p>
      <w:pPr>
        <w:pStyle w:val="Heading2"/>
        <w:spacing w:after="150" w:before="300"/>
      </w:pPr>
      <w:r>
        <w:rPr>
          <w:rFonts w:ascii="Georgia" w:cs="Georgia" w:eastAsia="Georgia" w:hAnsi="Georgia"/>
          <w:b/>
          <w:bCs/>
          <w:color w:val="333333"/>
          <w:sz w:val="26"/>
          <w:szCs w:val="26"/>
        </w:rPr>
        <w:t xml:space="preserve">3.3 Process Standardization</w:t>
      </w:r>
    </w:p>
    <w:p>
      <w:pPr>
        <w:spacing w:after="150" w:before="0"/>
        <w:jc w:val="both"/>
      </w:pPr>
      <w:r>
        <w:rPr>
          <w:rFonts w:ascii="Calibri" w:cs="Calibri" w:eastAsia="Calibri" w:hAnsi="Calibri"/>
          <w:color w:val="333333"/>
          <w:sz w:val="22"/>
          <w:szCs w:val="22"/>
        </w:rPr>
        <w:t xml:space="preserve">[Company Name] shall maintain standardized processes for all finance activities delivered through the SSC. Business units shall not maintain parallel processes for activities assigned to the SSC. Exceptions to standard processes require Controller approval with documented justification. Process documentation shall be maintained in [process documentation system] and updated whenever changes are made.</w:t>
      </w:r>
    </w:p>
    <w:p>
      <w:pPr>
        <w:pStyle w:val="Heading2"/>
        <w:spacing w:after="150" w:before="300"/>
      </w:pPr>
      <w:r>
        <w:rPr>
          <w:rFonts w:ascii="Georgia" w:cs="Georgia" w:eastAsia="Georgia" w:hAnsi="Georgia"/>
          <w:b/>
          <w:bCs/>
          <w:color w:val="333333"/>
          <w:sz w:val="26"/>
          <w:szCs w:val="26"/>
        </w:rPr>
        <w:t xml:space="preserve">3.4 Technology Enablement</w:t>
      </w:r>
    </w:p>
    <w:p>
      <w:pPr>
        <w:spacing w:after="150" w:before="0"/>
        <w:jc w:val="both"/>
      </w:pPr>
      <w:r>
        <w:rPr>
          <w:rFonts w:ascii="Calibri" w:cs="Calibri" w:eastAsia="Calibri" w:hAnsi="Calibri"/>
          <w:color w:val="333333"/>
          <w:sz w:val="22"/>
          <w:szCs w:val="22"/>
        </w:rPr>
        <w:t xml:space="preserve">The SSC shall leverage technology to maximize efficiency: ERP workflow automation for approvals and routing, RPA for high-volume repetitive tasks, self-service portals for employee and vendor inquiries (Tier 0), automated reconciliation tools, and business intelligence dashboards for real-time performance monitoring. Technology investments shall be justified through cost-benefit analysis and approved per the IT Budget Governance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finance operating model. Approves the SSC charter and budget. Reviews performance quarterly.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Oversees SSC operations. Approves standard processes. Resolves service delivery escalations.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SSC Director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day-to-day SSC operations. Owns SLA performance. Drives continuous improvement. Manages SSC staff.</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CoE Leaders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 specialized teams (Tax, Treasury, Technical Accounting). Provide expert guidance to the SSC and business units.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Business Partners (FP&amp;A)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Serve as the primary finance contact for business unit leaders. Translate business needs into SSC service requests.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Business Unit Leaders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 requirements to the SSC. Participate in SLA reviews. Approve changes to service scope.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Supports SSC technology platforms. Implements automation. Maintains system integrations.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Supports SSC staffing, training, and career development. Manages workforce planning for the finance function.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Service Catalog Management</w:t>
      </w:r>
    </w:p>
    <w:p>
      <w:pPr>
        <w:spacing w:after="150" w:before="0"/>
        <w:jc w:val="both"/>
      </w:pPr>
      <w:r>
        <w:rPr>
          <w:rFonts w:ascii="Calibri" w:cs="Calibri" w:eastAsia="Calibri" w:hAnsi="Calibri"/>
          <w:color w:val="333333"/>
          <w:sz w:val="22"/>
          <w:szCs w:val="22"/>
        </w:rPr>
        <w:t xml:space="preserve">The SSC Director shall maintain the finance service catalog documenting: each service offered (description, scope, exclusions), service owner and delivery team, SLA metrics (quality, timeliness, cost), service request process (how to request the service), and escalation path for service issues. The catalog shall be published on the company intranet and reviewed annually.</w:t>
      </w:r>
    </w:p>
    <w:p>
      <w:pPr>
        <w:pStyle w:val="Heading2"/>
        <w:spacing w:after="150" w:before="300"/>
      </w:pPr>
      <w:r>
        <w:rPr>
          <w:rFonts w:ascii="Georgia" w:cs="Georgia" w:eastAsia="Georgia" w:hAnsi="Georgia"/>
          <w:b/>
          <w:bCs/>
          <w:color w:val="333333"/>
          <w:sz w:val="26"/>
          <w:szCs w:val="26"/>
        </w:rPr>
        <w:t xml:space="preserve">5.2 SLA Performance Monitoring</w:t>
      </w:r>
    </w:p>
    <w:p>
      <w:pPr>
        <w:spacing w:after="150" w:before="0"/>
        <w:jc w:val="both"/>
      </w:pPr>
      <w:r>
        <w:rPr>
          <w:rFonts w:ascii="Calibri" w:cs="Calibri" w:eastAsia="Calibri" w:hAnsi="Calibri"/>
          <w:color w:val="333333"/>
          <w:sz w:val="22"/>
          <w:szCs w:val="22"/>
        </w:rPr>
        <w:t xml:space="preserve">The SSC Director shall produce a monthly SLA performance dashboard showing: SLA compliance by service area (% meeting target), volume metrics (transactions processed, inquiries handled), quality metrics (error rates, rework rates), customer satisfaction scores (quarterly survey), and cost per transaction trends. Dashboard results shall be reviewed monthly by the Controller and quarterly by the CFO.</w:t>
      </w:r>
    </w:p>
    <w:p>
      <w:pPr>
        <w:pStyle w:val="Heading2"/>
        <w:spacing w:after="150" w:before="300"/>
      </w:pPr>
      <w:r>
        <w:rPr>
          <w:rFonts w:ascii="Georgia" w:cs="Georgia" w:eastAsia="Georgia" w:hAnsi="Georgia"/>
          <w:b/>
          <w:bCs/>
          <w:color w:val="333333"/>
          <w:sz w:val="26"/>
          <w:szCs w:val="26"/>
        </w:rPr>
        <w:t xml:space="preserve">5.3 Continuous Improvement</w:t>
      </w:r>
    </w:p>
    <w:p>
      <w:pPr>
        <w:pStyle w:val="Heading3"/>
        <w:spacing w:after="100" w:before="200"/>
      </w:pPr>
      <w:r>
        <w:rPr>
          <w:rFonts w:ascii="Georgia" w:cs="Georgia" w:eastAsia="Georgia" w:hAnsi="Georgia"/>
          <w:b/>
          <w:bCs/>
          <w:color w:val="444444"/>
          <w:sz w:val="22"/>
          <w:szCs w:val="22"/>
        </w:rPr>
        <w:t xml:space="preserve">5.3.1 Process Improvement Methodology</w:t>
      </w:r>
    </w:p>
    <w:p>
      <w:pPr>
        <w:spacing w:after="150" w:before="0"/>
        <w:jc w:val="both"/>
      </w:pPr>
      <w:r>
        <w:rPr>
          <w:rFonts w:ascii="Calibri" w:cs="Calibri" w:eastAsia="Calibri" w:hAnsi="Calibri"/>
          <w:color w:val="333333"/>
          <w:sz w:val="22"/>
          <w:szCs w:val="22"/>
        </w:rPr>
        <w:t xml:space="preserve">The SSC shall maintain a structured continuous improvement program using: Lean principles (eliminate waste, reduce cycle time), Six Sigma methodology (reduce variation, improve quality), automation opportunities (identify tasks suitable for RPA or AI), and benchmarking (compare performance to external benchmarks from Hackett, APQC, or similar). Improvement projects shall be prioritized by impact (cost savings, quality improvement, cycle time reduction) and managed through a formal project portfolio.</w:t>
      </w:r>
    </w:p>
    <w:p>
      <w:pPr>
        <w:pStyle w:val="Heading3"/>
        <w:spacing w:after="100" w:before="200"/>
      </w:pPr>
      <w:r>
        <w:rPr>
          <w:rFonts w:ascii="Georgia" w:cs="Georgia" w:eastAsia="Georgia" w:hAnsi="Georgia"/>
          <w:b/>
          <w:bCs/>
          <w:color w:val="444444"/>
          <w:sz w:val="22"/>
          <w:szCs w:val="22"/>
        </w:rPr>
        <w:t xml:space="preserve">5.3.2 Annual Benchmarking</w:t>
      </w:r>
    </w:p>
    <w:p>
      <w:pPr>
        <w:spacing w:after="150" w:before="0"/>
        <w:jc w:val="both"/>
      </w:pPr>
      <w:r>
        <w:rPr>
          <w:rFonts w:ascii="Calibri" w:cs="Calibri" w:eastAsia="Calibri" w:hAnsi="Calibri"/>
          <w:color w:val="333333"/>
          <w:sz w:val="22"/>
          <w:szCs w:val="22"/>
        </w:rPr>
        <w:t xml:space="preserve">The CFO shall commission an annual finance function benchmark comparing [Company Name] to peers on: finance cost as a percentage of revenue, FTEs per $1B revenue, close cycle time, transaction cost (cost per invoice, cost per payment), and technology adoption. Benchmarking results shall inform the SSC improvement roadmap.</w:t>
      </w:r>
    </w:p>
    <w:p>
      <w:pPr>
        <w:pStyle w:val="Heading2"/>
        <w:spacing w:after="150" w:before="300"/>
      </w:pPr>
      <w:r>
        <w:rPr>
          <w:rFonts w:ascii="Georgia" w:cs="Georgia" w:eastAsia="Georgia" w:hAnsi="Georgia"/>
          <w:b/>
          <w:bCs/>
          <w:color w:val="333333"/>
          <w:sz w:val="26"/>
          <w:szCs w:val="26"/>
        </w:rPr>
        <w:t xml:space="preserve">5.4 Governance</w:t>
      </w:r>
    </w:p>
    <w:p>
      <w:pPr>
        <w:pStyle w:val="Heading3"/>
        <w:spacing w:after="100" w:before="200"/>
      </w:pPr>
      <w:r>
        <w:rPr>
          <w:rFonts w:ascii="Georgia" w:cs="Georgia" w:eastAsia="Georgia" w:hAnsi="Georgia"/>
          <w:b/>
          <w:bCs/>
          <w:color w:val="444444"/>
          <w:sz w:val="22"/>
          <w:szCs w:val="22"/>
        </w:rPr>
        <w:t xml:space="preserve">5.4.1 Finance Operating Committee</w:t>
      </w:r>
    </w:p>
    <w:p>
      <w:pPr>
        <w:spacing w:after="150" w:before="0"/>
        <w:jc w:val="both"/>
      </w:pPr>
      <w:r>
        <w:rPr>
          <w:rFonts w:ascii="Calibri" w:cs="Calibri" w:eastAsia="Calibri" w:hAnsi="Calibri"/>
          <w:color w:val="333333"/>
          <w:sz w:val="22"/>
          <w:szCs w:val="22"/>
        </w:rPr>
        <w:t xml:space="preserve">A Finance Operating Committee shall meet [monthly] comprising: CFO (chair), Controller, SSC Director, CoE Leaders, and senior Business Partners. The committee shall: review SSC performance, approve process changes, prioritize improvement initiatives, resolve cross-functional issues, and set strategic direction for the finance operating model.</w:t>
      </w:r>
    </w:p>
    <w:p>
      <w:pPr>
        <w:pStyle w:val="Heading3"/>
        <w:spacing w:after="100" w:before="200"/>
      </w:pPr>
      <w:r>
        <w:rPr>
          <w:rFonts w:ascii="Georgia" w:cs="Georgia" w:eastAsia="Georgia" w:hAnsi="Georgia"/>
          <w:b/>
          <w:bCs/>
          <w:color w:val="444444"/>
          <w:sz w:val="22"/>
          <w:szCs w:val="22"/>
        </w:rPr>
        <w:t xml:space="preserve">5.4.2 Annual Operating Model Review</w:t>
      </w:r>
    </w:p>
    <w:p>
      <w:pPr>
        <w:spacing w:after="150" w:before="0"/>
        <w:jc w:val="both"/>
      </w:pPr>
      <w:r>
        <w:rPr>
          <w:rFonts w:ascii="Calibri" w:cs="Calibri" w:eastAsia="Calibri" w:hAnsi="Calibri"/>
          <w:color w:val="333333"/>
          <w:sz w:val="22"/>
          <w:szCs w:val="22"/>
        </w:rPr>
        <w:t xml:space="preserve">The CFO shall conduct an annual review of the finance operating model evaluating: whether the current model (what is centralized vs. decentralized) remains optimal, outsourcing opportunities for non-core activities, insourcing opportunities where quality or control concerns exist, technology investment priorities, and organizational design and talent needs.</w:t>
      </w:r>
    </w:p>
    <w:p>
      <w:pPr>
        <w:pStyle w:val="Heading2"/>
        <w:spacing w:after="150" w:before="300"/>
      </w:pPr>
      <w:r>
        <w:rPr>
          <w:rFonts w:ascii="Georgia" w:cs="Georgia" w:eastAsia="Georgia" w:hAnsi="Georgia"/>
          <w:b/>
          <w:bCs/>
          <w:color w:val="333333"/>
          <w:sz w:val="26"/>
          <w:szCs w:val="26"/>
        </w:rPr>
        <w:t xml:space="preserve">5.5 Transition and Onboarding</w:t>
      </w:r>
    </w:p>
    <w:p>
      <w:pPr>
        <w:spacing w:after="150" w:before="0"/>
        <w:jc w:val="both"/>
      </w:pPr>
      <w:r>
        <w:rPr>
          <w:rFonts w:ascii="Calibri" w:cs="Calibri" w:eastAsia="Calibri" w:hAnsi="Calibri"/>
          <w:color w:val="333333"/>
          <w:sz w:val="22"/>
          <w:szCs w:val="22"/>
        </w:rPr>
        <w:t xml:space="preserve">When new business units are added (through acquisition or organic growth), the SSC transition process shall: complete a readiness assessment within [30] days of announcement, develop a transition plan with the business unit within [60] days, migrate transactional activities to the SSC within [6-12] months (phased), maintain parallel processing during transition for critical processes, and confirm SLA compliance before completing the transition.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Operating Model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SSC charter and scope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SLA establishment or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Business Unit VP</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Standard process change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SSC Director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New service addition to catalog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Outsourcing of finance activity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SSC headcount change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Within budget</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SSC Director +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SSC headcount change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Above budget</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Technology investment for SSC</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Per IT Budget Policy</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CTO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Business units may not bypass the SSC for services assigned to the SSC without Controller approval. Persistent SLA failures (3+ consecutive months below target) shall trigger a formal remediation plan. If the SSC cannot resolve a service quality issue within [60] days, the business unit may escalate to the CFO for resolution, which may include temporary alternative service delivery. Service disputes between the SSC and business units shall be mediated by the Controller, with the CFO as final arbiter.</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SLA performance dashboard publication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customer satisfaction survey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Finance Operating Committee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finance function benchmarking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operating model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Continuous improvement project portfolio tracking</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SLA compliance rate (across all services)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&gt; [95%]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Finance cost as % of revenue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[Benchmark 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Transaction cost (cost per invoice, payment, etc.)</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Declining trend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Close cycle time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 business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Customer satisfaction (internal)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[4.0+] out of 5.0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Automation rate (% of transactions fully automated)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Increasing trend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Employee satisfaction (SSC)</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[4.0+] out of 5.0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transactional policies (AP, AR, Payroll, FA, GL)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IT Budget Governance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Budget &amp; Financial Planning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APQC Finance Function Benchmarks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Hackett Group World-Class Finance Metrics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Service Catalog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Service</w:t>
            </w:r>
          </w:p>
        </w:tc>
        <w:tc>
          <w:tcPr>
            <w:tcW w:type="dxa" w:w="2400"/>
            <w:shd w:fill="0C0C0C" w:val="clear"/>
          </w:tcPr>
          <w:p>
            <w:pPr>
              <w:spacing w:after="60" w:before="60"/>
            </w:pPr>
            <w:r>
              <w:rPr>
                <w:rFonts w:ascii="Calibri" w:cs="Calibri" w:eastAsia="Calibri" w:hAnsi="Calibri"/>
                <w:b/>
                <w:bCs/>
                <w:color w:val="D4AF37"/>
                <w:sz w:val="20"/>
                <w:szCs w:val="20"/>
              </w:rPr>
              <w:t xml:space="preserve">Delivery Tier</w:t>
            </w:r>
          </w:p>
        </w:tc>
        <w:tc>
          <w:tcPr>
            <w:tcW w:type="dxa" w:w="4560"/>
            <w:shd w:fill="0C0C0C" w:val="clear"/>
          </w:tcPr>
          <w:p>
            <w:pPr>
              <w:spacing w:after="60" w:before="60"/>
            </w:pPr>
            <w:r>
              <w:rPr>
                <w:rFonts w:ascii="Calibri" w:cs="Calibri" w:eastAsia="Calibri" w:hAnsi="Calibri"/>
                <w:b/>
                <w:bCs/>
                <w:color w:val="D4AF37"/>
                <w:sz w:val="20"/>
                <w:szCs w:val="20"/>
              </w:rPr>
              <w:t xml:space="preserve">SLA Target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Invoice processing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SSC</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&lt; [3] days, [99%] accuracy</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Payment processing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SSC</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Weekly runs, [100%] on-time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Cash application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SSC</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&lt; [1] day, [98%] auto-match</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Payroll processing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SSC</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[100%] on-time, [99.8%] accuracy</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GL reconciliation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SSC</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&lt; [5] days post-close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Financial reporting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SSC + CoE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&lt; [7] days post-close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Tax compliance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CoE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[100%] on-time filing</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Treasury operations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CoE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&lt; [4] hour RTO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FP&amp;A / budgeting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Business Partner</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Per planning calendar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Strategic analysis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Business Partner</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Per request</w:t>
            </w:r>
          </w:p>
        </w:tc>
      </w:tr>
    </w:tbl>
    <w:p>
      <w:pPr>
        <w:pStyle w:val="Heading2"/>
        <w:spacing w:after="150" w:before="300"/>
      </w:pPr>
      <w:r>
        <w:rPr>
          <w:rFonts w:ascii="Georgia" w:cs="Georgia" w:eastAsia="Georgia" w:hAnsi="Georgia"/>
          <w:b/>
          <w:bCs/>
          <w:color w:val="333333"/>
          <w:sz w:val="26"/>
          <w:szCs w:val="26"/>
        </w:rPr>
        <w:t xml:space="preserve">Appendix B — Finance Organization Chart Template</w:t>
      </w:r>
    </w:p>
    <w:p>
      <w:pPr>
        <w:spacing w:after="150" w:before="0"/>
        <w:jc w:val="both"/>
      </w:pPr>
      <w:r>
        <w:rPr>
          <w:rFonts w:ascii="Calibri" w:cs="Calibri" w:eastAsia="Calibri" w:hAnsi="Calibri"/>
          <w:color w:val="333333"/>
          <w:sz w:val="22"/>
          <w:szCs w:val="22"/>
        </w:rPr>
        <w:t xml:space="preserve">The finance organization chart shows the three-tier structure: SSC reporting to the Controller, CoEs reporting to the Controller or CFO directly, and Business Partners reporting to the CFO with dotted line to business unit leaders. The organization chart shall be updated when structural changes occur and published on the company intranet.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Shared Services &amp; Finance Operating Model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2026-07-13T08:39:08.294Z</dcterms:created>
  <dcterms:modified xsi:type="dcterms:W3CDTF">2026-07-13T08:39:08.294Z</dcterms:modified>
</cp:coreProperties>
</file>

<file path=docProps/custom.xml><?xml version="1.0" encoding="utf-8"?>
<Properties xmlns="http://schemas.openxmlformats.org/officeDocument/2006/custom-properties" xmlns:vt="http://schemas.openxmlformats.org/officeDocument/2006/docPropsVTypes"/>
</file>