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Financial Reporting Manual / GAAP Application Guide</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Financial Reporting Manual establishes [Company Name]'s authoritative internal reference for applying US GAAP to the company's specific transactions, arrangements, and reporting requirements. The manual documents the accounting policies selected from among GAAP alternatives, the judgments and estimates applied, and the methodologies used to prepare financial statements and disclosures.</w:t>
      </w:r>
    </w:p>
    <w:p>
      <w:pPr>
        <w:spacing w:after="150" w:before="0"/>
        <w:jc w:val="both"/>
      </w:pPr>
      <w:r>
        <w:rPr>
          <w:rFonts w:ascii="Calibri" w:cs="Calibri" w:eastAsia="Calibri" w:hAnsi="Calibri"/>
          <w:color w:val="333333"/>
          <w:sz w:val="22"/>
          <w:szCs w:val="22"/>
        </w:rPr>
        <w:t xml:space="preserve">This manual applies to all accounting and financial reporting activities across [Company Name] and its consolidated subsidiaries. It serves as the definitive reference for how [Company Name] applies GAAP — resolving questions about accounting treatment without requiring external consultation for routine matters.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Document all significant accounting policies and their GAAP basis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guidance for applying GAAP to [Company Name]'s specific transactions and arrangements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inconsistency in accounting treatment across business units and periods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Serve as the primary training resource for new accounting staff</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the external audit by documenting the basis for key accounting judgments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compliance with SEC financial reporting requirements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Accounting Policy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specific principle, basis, convention, rule, or practice selected by [Company Name] from among acceptable GAAP alternatives.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Accounting Estimate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estimate that requires management judgment and has a material impact on reported amounts (e.g., allowance for credit losses, revenue recognition for long-term contracts, goodwill impairment).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Accounting Policy Hierarchy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order of authority for resolving accounting questions: (1) ASC, (2) SEC staff guidance, (3) AICPA guidance, (4) other authoritative sources, (5) company-specific policy documented in this manual.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Emerging Issue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new transaction type, arrangement, or standard that requires a policy determination not currently addressed in this manual.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Technical Accounting Memo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written analysis documenting the GAAP basis for an accounting position on a specific transaction or arrangement.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Policy Election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choice among GAAP-permitted alternatives (e.g., FIFO vs. weighted average, operating vs. finance lease classification thresholds).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Checklist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comprehensive list of all required financial statement disclosures by ASC topic.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magnitude of a misstatement that would influence the judgment of a reasonable investor.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Manual Governance</w:t>
      </w:r>
    </w:p>
    <w:p>
      <w:pPr>
        <w:spacing w:after="150" w:before="0"/>
        <w:jc w:val="both"/>
      </w:pPr>
      <w:r>
        <w:rPr>
          <w:rFonts w:ascii="Calibri" w:cs="Calibri" w:eastAsia="Calibri" w:hAnsi="Calibri"/>
          <w:color w:val="333333"/>
          <w:sz w:val="22"/>
          <w:szCs w:val="22"/>
        </w:rPr>
        <w:t xml:space="preserve">The Controller owns this manual and is responsible for keeping it current. The manual shall be: updated at least annually for new accounting standards and policy changes, updated within [30] days when new transaction types require a policy determination, reviewed by the external auditor annually for consistency with their understanding of [Company Name]'s accounting, approved by the CFO for significant policy changes, and accessible to all accounting staff via [document management system].</w:t>
      </w:r>
    </w:p>
    <w:p>
      <w:pPr>
        <w:pStyle w:val="Heading2"/>
        <w:spacing w:after="150" w:before="300"/>
      </w:pPr>
      <w:r>
        <w:rPr>
          <w:rFonts w:ascii="Georgia" w:cs="Georgia" w:eastAsia="Georgia" w:hAnsi="Georgia"/>
          <w:b/>
          <w:bCs/>
          <w:color w:val="333333"/>
          <w:sz w:val="26"/>
          <w:szCs w:val="26"/>
        </w:rPr>
        <w:t xml:space="preserve">3.2 Accounting Policy Elections</w:t>
      </w:r>
    </w:p>
    <w:p>
      <w:pPr>
        <w:spacing w:after="150" w:before="0"/>
        <w:jc w:val="both"/>
      </w:pPr>
      <w:r>
        <w:rPr>
          <w:rFonts w:ascii="Calibri" w:cs="Calibri" w:eastAsia="Calibri" w:hAnsi="Calibri"/>
          <w:color w:val="333333"/>
          <w:sz w:val="22"/>
          <w:szCs w:val="22"/>
        </w:rPr>
        <w:t xml:space="preserve">[Company Name] has made the following significant accounting policy elections: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Policy Area</w:t>
            </w:r>
          </w:p>
        </w:tc>
        <w:tc>
          <w:tcPr>
            <w:tcW w:type="dxa" w:w="6160"/>
            <w:shd w:fill="0C0C0C" w:val="clear"/>
          </w:tcPr>
          <w:p>
            <w:pPr>
              <w:spacing w:after="60" w:before="60"/>
            </w:pPr>
            <w:r>
              <w:rPr>
                <w:rFonts w:ascii="Calibri" w:cs="Calibri" w:eastAsia="Calibri" w:hAnsi="Calibri"/>
                <w:b/>
                <w:bCs/>
                <w:color w:val="D4AF37"/>
                <w:sz w:val="20"/>
                <w:szCs w:val="20"/>
              </w:rPr>
              <w:t xml:space="preserve">Election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recognition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Five-step model (ASC 606); performance obligations satisfied over time use cost-to-cost input method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Inventory costing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[FIFO / Weighted Average / Standard Cost adjusted to approximate actual]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Depreciation method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Straight-line for all asset categories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classification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Quantitative thresholds: 75% of economic life, 90% of fair value (bright-line application)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Short-term lease exemption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Elected for all asset classes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Goodwill impairment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Annual test date: [October 1]; qualitative assessment elected when appropriate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Stock compensation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Straight-line attribution for graded vesting; estimate forfeitures at grant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CECL methodology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Loss rate method applied to AR aging, adjusted for current conditions and forecasts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Cash flow statement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Indirect method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Interest capitalization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Capitalized for qualifying assets with construction period &gt; [90]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Income tax provision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annual ETR method with discrete items in the quarter incurred</w:t>
            </w:r>
          </w:p>
        </w:tc>
      </w:tr>
    </w:tbl>
    <w:p>
      <w:pPr>
        <w:pStyle w:val="Heading2"/>
        <w:spacing w:after="150" w:before="300"/>
      </w:pPr>
      <w:r>
        <w:rPr>
          <w:rFonts w:ascii="Georgia" w:cs="Georgia" w:eastAsia="Georgia" w:hAnsi="Georgia"/>
          <w:b/>
          <w:bCs/>
          <w:color w:val="333333"/>
          <w:sz w:val="26"/>
          <w:szCs w:val="26"/>
        </w:rPr>
        <w:t xml:space="preserve">3.3 Materiality Framework</w:t>
      </w:r>
    </w:p>
    <w:p>
      <w:pPr>
        <w:spacing w:after="150" w:before="0"/>
        <w:jc w:val="both"/>
      </w:pPr>
      <w:r>
        <w:rPr>
          <w:rFonts w:ascii="Calibri" w:cs="Calibri" w:eastAsia="Calibri" w:hAnsi="Calibri"/>
          <w:color w:val="333333"/>
          <w:sz w:val="22"/>
          <w:szCs w:val="22"/>
        </w:rPr>
        <w:t xml:space="preserve">[Company Name]'s materiality framework for financial reporting: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Materiality Level</w:t>
            </w:r>
          </w:p>
        </w:tc>
        <w:tc>
          <w:tcPr>
            <w:tcW w:type="dxa" w:w="6160"/>
            <w:shd w:fill="0C0C0C" w:val="clear"/>
          </w:tcPr>
          <w:p>
            <w:pPr>
              <w:spacing w:after="60" w:before="60"/>
            </w:pPr>
            <w:r>
              <w:rPr>
                <w:rFonts w:ascii="Calibri" w:cs="Calibri" w:eastAsia="Calibri" w:hAnsi="Calibri"/>
                <w:b/>
                <w:bCs/>
                <w:color w:val="D4AF37"/>
                <w:sz w:val="20"/>
                <w:szCs w:val="20"/>
              </w:rPr>
              <w:t xml:space="preserve">Quantitative Guideline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Overall materiality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 of pre-tax income or [1%] of total revenue, whichever provides the lower threshold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Posting threshold (trivial)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 of overall materiality; items below this are not individually evaluated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Specific account materiality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May differ from overall materiality for sensitive accounts (revenue, EPS, regulatory)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Qualitative materiality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Items affecting trends, covenant compliance, executive compensation, or involving fraud are material regardless of amount</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Materiality is ultimately a judgment, not a formula. Quantitative guidelines are starting points; qualitative factors may make a smaller amount material.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accounting policy elections and changes. Presents policy positions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and maintains this manual. Resolves accounting questions by reference to the manual. Prepares technical memos for complex transactions.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Technical Accounting (if separate)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Researches emerging issues. Drafts policy positions. Monitors new ASC updates. Prepares implementation guidance.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Accounting Managers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Apply policies documented in this manual. Escalate questions not covered by the manual to the Controller.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Understands revenue recognition and expense policies for accurate forecasting and budgeting.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the manual annually. Provides input on policy elections. Evaluates consistency of application.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significant accounting policy changes. Discusses critical accounting estimates with management and auditors.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Revenue Recognition Application Guide</w:t>
      </w:r>
    </w:p>
    <w:p>
      <w:pPr>
        <w:pStyle w:val="Heading3"/>
        <w:spacing w:after="100" w:before="200"/>
      </w:pPr>
      <w:r>
        <w:rPr>
          <w:rFonts w:ascii="Georgia" w:cs="Georgia" w:eastAsia="Georgia" w:hAnsi="Georgia"/>
          <w:b/>
          <w:bCs/>
          <w:color w:val="444444"/>
          <w:sz w:val="22"/>
          <w:szCs w:val="22"/>
        </w:rPr>
        <w:t xml:space="preserve">5.1.1 Standard Product Sales</w:t>
      </w:r>
    </w:p>
    <w:p>
      <w:pPr>
        <w:spacing w:after="150" w:before="0"/>
        <w:jc w:val="both"/>
      </w:pPr>
      <w:r>
        <w:rPr>
          <w:rFonts w:ascii="Calibri" w:cs="Calibri" w:eastAsia="Calibri" w:hAnsi="Calibri"/>
          <w:color w:val="333333"/>
          <w:sz w:val="22"/>
          <w:szCs w:val="22"/>
        </w:rPr>
        <w:t xml:space="preserve">Revenue from standard product sales is recognized at the point in time when control transfers to the customer, which is typically upon: shipment (FOB shipping point) or delivery (FOB destination), depending on the contract terms. Indicators of control transfer: title passes, physical possession transfers, customer has the significant risks and rewards, and [Company Name] has a present right to payment.</w:t>
      </w:r>
    </w:p>
    <w:p>
      <w:pPr>
        <w:pStyle w:val="Heading3"/>
        <w:spacing w:after="100" w:before="200"/>
      </w:pPr>
      <w:r>
        <w:rPr>
          <w:rFonts w:ascii="Georgia" w:cs="Georgia" w:eastAsia="Georgia" w:hAnsi="Georgia"/>
          <w:b/>
          <w:bCs/>
          <w:color w:val="444444"/>
          <w:sz w:val="22"/>
          <w:szCs w:val="22"/>
        </w:rPr>
        <w:t xml:space="preserve">5.1.2 Subscription / SaaS Revenue</w:t>
      </w:r>
    </w:p>
    <w:p>
      <w:pPr>
        <w:spacing w:after="150" w:before="0"/>
        <w:jc w:val="both"/>
      </w:pPr>
      <w:r>
        <w:rPr>
          <w:rFonts w:ascii="Calibri" w:cs="Calibri" w:eastAsia="Calibri" w:hAnsi="Calibri"/>
          <w:color w:val="333333"/>
          <w:sz w:val="22"/>
          <w:szCs w:val="22"/>
        </w:rPr>
        <w:t xml:space="preserve">Subscription revenue is recognized ratably over the subscription term as the customer simultaneously receives and consumes the benefit of the service. The performance obligation is a stand-ready obligation satisfied over time. Revenue is recognized on a straight-line basis unless a different pattern better represents the transfer of value.</w:t>
      </w:r>
    </w:p>
    <w:p>
      <w:pPr>
        <w:pStyle w:val="Heading3"/>
        <w:spacing w:after="100" w:before="200"/>
      </w:pPr>
      <w:r>
        <w:rPr>
          <w:rFonts w:ascii="Georgia" w:cs="Georgia" w:eastAsia="Georgia" w:hAnsi="Georgia"/>
          <w:b/>
          <w:bCs/>
          <w:color w:val="444444"/>
          <w:sz w:val="22"/>
          <w:szCs w:val="22"/>
        </w:rPr>
        <w:t xml:space="preserve">5.1.3 Professional Services Revenue</w:t>
      </w:r>
    </w:p>
    <w:p>
      <w:pPr>
        <w:spacing w:after="150" w:before="0"/>
        <w:jc w:val="both"/>
      </w:pPr>
      <w:r>
        <w:rPr>
          <w:rFonts w:ascii="Calibri" w:cs="Calibri" w:eastAsia="Calibri" w:hAnsi="Calibri"/>
          <w:color w:val="333333"/>
          <w:sz w:val="22"/>
          <w:szCs w:val="22"/>
        </w:rPr>
        <w:t xml:space="preserve">Time-and-materials services: revenue recognized as services are performed (hours delivered at the contractual rate). Fixed-price services: revenue recognized over time using the cost-to-cost input method when the criteria for over-time recognition are met (no alternative use + enforceable right to payment for performance to date). If over-time criteria are not met, revenue is recognized at a point in time upon project completion and acceptance.</w:t>
      </w:r>
    </w:p>
    <w:p>
      <w:pPr>
        <w:pStyle w:val="Heading3"/>
        <w:spacing w:after="100" w:before="200"/>
      </w:pPr>
      <w:r>
        <w:rPr>
          <w:rFonts w:ascii="Georgia" w:cs="Georgia" w:eastAsia="Georgia" w:hAnsi="Georgia"/>
          <w:b/>
          <w:bCs/>
          <w:color w:val="444444"/>
          <w:sz w:val="22"/>
          <w:szCs w:val="22"/>
        </w:rPr>
        <w:t xml:space="preserve">5.1.4 Multiple Performance Obligations</w:t>
      </w:r>
    </w:p>
    <w:p>
      <w:pPr>
        <w:spacing w:after="150" w:before="0"/>
        <w:jc w:val="both"/>
      </w:pPr>
      <w:r>
        <w:rPr>
          <w:rFonts w:ascii="Calibri" w:cs="Calibri" w:eastAsia="Calibri" w:hAnsi="Calibri"/>
          <w:color w:val="333333"/>
          <w:sz w:val="22"/>
          <w:szCs w:val="22"/>
        </w:rPr>
        <w:t xml:space="preserve">Arrangements with multiple deliverables (product + implementation + support) are separated into distinct performance obligations. Transaction price is allocated based on relative standalone selling prices (SSP). SSP is established through: observable prices, adjusted market assessment, expected cost plus margin, or residual approach (per the Revenue Recognition Policy).</w:t>
      </w:r>
    </w:p>
    <w:p>
      <w:pPr>
        <w:pStyle w:val="Heading2"/>
        <w:spacing w:after="150" w:before="300"/>
      </w:pPr>
      <w:r>
        <w:rPr>
          <w:rFonts w:ascii="Georgia" w:cs="Georgia" w:eastAsia="Georgia" w:hAnsi="Georgia"/>
          <w:b/>
          <w:bCs/>
          <w:color w:val="333333"/>
          <w:sz w:val="26"/>
          <w:szCs w:val="26"/>
        </w:rPr>
        <w:t xml:space="preserve">5.2 Expense Recognition</w:t>
      </w:r>
    </w:p>
    <w:p>
      <w:pPr>
        <w:pStyle w:val="Heading3"/>
        <w:spacing w:after="100" w:before="200"/>
      </w:pPr>
      <w:r>
        <w:rPr>
          <w:rFonts w:ascii="Georgia" w:cs="Georgia" w:eastAsia="Georgia" w:hAnsi="Georgia"/>
          <w:b/>
          <w:bCs/>
          <w:color w:val="444444"/>
          <w:sz w:val="22"/>
          <w:szCs w:val="22"/>
        </w:rPr>
        <w:t xml:space="preserve">5.2.1 Compensation and Benefits</w:t>
      </w:r>
    </w:p>
    <w:p>
      <w:pPr>
        <w:spacing w:after="150" w:before="0"/>
        <w:jc w:val="both"/>
      </w:pPr>
      <w:r>
        <w:rPr>
          <w:rFonts w:ascii="Calibri" w:cs="Calibri" w:eastAsia="Calibri" w:hAnsi="Calibri"/>
          <w:color w:val="333333"/>
          <w:sz w:val="22"/>
          <w:szCs w:val="22"/>
        </w:rPr>
        <w:t xml:space="preserve">Salaries and wages are recognized in the period earned. Bonuses are accrued when the payment is probable and the amount can be reasonably estimated (typically accrued quarterly based on year-to-date performance against plan). Benefits are recognized as earned, with actuarial estimates for pension and OPEB obligations.</w:t>
      </w:r>
    </w:p>
    <w:p>
      <w:pPr>
        <w:pStyle w:val="Heading3"/>
        <w:spacing w:after="100" w:before="200"/>
      </w:pPr>
      <w:r>
        <w:rPr>
          <w:rFonts w:ascii="Georgia" w:cs="Georgia" w:eastAsia="Georgia" w:hAnsi="Georgia"/>
          <w:b/>
          <w:bCs/>
          <w:color w:val="444444"/>
          <w:sz w:val="22"/>
          <w:szCs w:val="22"/>
        </w:rPr>
        <w:t xml:space="preserve">5.2.2 Stock-Based Compensation (ASC 718)</w:t>
      </w:r>
    </w:p>
    <w:p>
      <w:pPr>
        <w:spacing w:after="150" w:before="0"/>
        <w:jc w:val="both"/>
      </w:pPr>
      <w:r>
        <w:rPr>
          <w:rFonts w:ascii="Calibri" w:cs="Calibri" w:eastAsia="Calibri" w:hAnsi="Calibri"/>
          <w:color w:val="333333"/>
          <w:sz w:val="22"/>
          <w:szCs w:val="22"/>
        </w:rPr>
        <w:t xml:space="preserve">Stock options are measured at grant-date fair value using the Black-Scholes model. RSUs are measured at the grant-date stock price. Expense is recognized on a straight-line basis over the requisite service period (typically the vesting period). Forfeitures are estimated at grant date based on historical data and trued up as actuals are known.</w:t>
      </w:r>
    </w:p>
    <w:p>
      <w:pPr>
        <w:pStyle w:val="Heading3"/>
        <w:spacing w:after="100" w:before="200"/>
      </w:pPr>
      <w:r>
        <w:rPr>
          <w:rFonts w:ascii="Georgia" w:cs="Georgia" w:eastAsia="Georgia" w:hAnsi="Georgia"/>
          <w:b/>
          <w:bCs/>
          <w:color w:val="444444"/>
          <w:sz w:val="22"/>
          <w:szCs w:val="22"/>
        </w:rPr>
        <w:t xml:space="preserve">5.2.3 Research and Development</w:t>
      </w:r>
    </w:p>
    <w:p>
      <w:pPr>
        <w:spacing w:after="150" w:before="0"/>
        <w:jc w:val="both"/>
      </w:pPr>
      <w:r>
        <w:rPr>
          <w:rFonts w:ascii="Calibri" w:cs="Calibri" w:eastAsia="Calibri" w:hAnsi="Calibri"/>
          <w:color w:val="333333"/>
          <w:sz w:val="22"/>
          <w:szCs w:val="22"/>
        </w:rPr>
        <w:t xml:space="preserve">Research and development costs are expensed as incurred per ASC 730. Internal-use software development costs are capitalized during the application development stage per ASC 350-40. The distinction between research (expense) and development (may capitalize for internal-use software) shall be documented for significant projects.</w:t>
      </w:r>
    </w:p>
    <w:p>
      <w:pPr>
        <w:pStyle w:val="Heading2"/>
        <w:spacing w:after="150" w:before="300"/>
      </w:pPr>
      <w:r>
        <w:rPr>
          <w:rFonts w:ascii="Georgia" w:cs="Georgia" w:eastAsia="Georgia" w:hAnsi="Georgia"/>
          <w:b/>
          <w:bCs/>
          <w:color w:val="333333"/>
          <w:sz w:val="26"/>
          <w:szCs w:val="26"/>
        </w:rPr>
        <w:t xml:space="preserve">5.3 Balance Sheet Policies</w:t>
      </w:r>
    </w:p>
    <w:p>
      <w:pPr>
        <w:pStyle w:val="Heading3"/>
        <w:spacing w:after="100" w:before="200"/>
      </w:pPr>
      <w:r>
        <w:rPr>
          <w:rFonts w:ascii="Georgia" w:cs="Georgia" w:eastAsia="Georgia" w:hAnsi="Georgia"/>
          <w:b/>
          <w:bCs/>
          <w:color w:val="444444"/>
          <w:sz w:val="22"/>
          <w:szCs w:val="22"/>
        </w:rPr>
        <w:t xml:space="preserve">5.3.1 Cash and Cash Equivalents</w:t>
      </w:r>
    </w:p>
    <w:p>
      <w:pPr>
        <w:spacing w:after="150" w:before="0"/>
        <w:jc w:val="both"/>
      </w:pPr>
      <w:r>
        <w:rPr>
          <w:rFonts w:ascii="Calibri" w:cs="Calibri" w:eastAsia="Calibri" w:hAnsi="Calibri"/>
          <w:color w:val="333333"/>
          <w:sz w:val="22"/>
          <w:szCs w:val="22"/>
        </w:rPr>
        <w:t xml:space="preserve">Cash equivalents are short-term, highly liquid investments with original maturities of three months or less. Bank overdrafts are classified as current liabilities unless a right of offset exists with positive balances at the same institution.</w:t>
      </w:r>
    </w:p>
    <w:p>
      <w:pPr>
        <w:pStyle w:val="Heading3"/>
        <w:spacing w:after="100" w:before="200"/>
      </w:pPr>
      <w:r>
        <w:rPr>
          <w:rFonts w:ascii="Georgia" w:cs="Georgia" w:eastAsia="Georgia" w:hAnsi="Georgia"/>
          <w:b/>
          <w:bCs/>
          <w:color w:val="444444"/>
          <w:sz w:val="22"/>
          <w:szCs w:val="22"/>
        </w:rPr>
        <w:t xml:space="preserve">5.3.2 Allowance for Credit Losses</w:t>
      </w:r>
    </w:p>
    <w:p>
      <w:pPr>
        <w:spacing w:after="150" w:before="0"/>
        <w:jc w:val="both"/>
      </w:pPr>
      <w:r>
        <w:rPr>
          <w:rFonts w:ascii="Calibri" w:cs="Calibri" w:eastAsia="Calibri" w:hAnsi="Calibri"/>
          <w:color w:val="333333"/>
          <w:sz w:val="22"/>
          <w:szCs w:val="22"/>
        </w:rPr>
        <w:t xml:space="preserve">The CECL allowance is estimated using the loss rate methodology applied to the AR aging schedule, adjusted for current conditions and reasonable forecasts. See the Bad Debt &amp; Write-Off Policy for detailed methodology.</w:t>
      </w:r>
    </w:p>
    <w:p>
      <w:pPr>
        <w:pStyle w:val="Heading3"/>
        <w:spacing w:after="100" w:before="200"/>
      </w:pPr>
      <w:r>
        <w:rPr>
          <w:rFonts w:ascii="Georgia" w:cs="Georgia" w:eastAsia="Georgia" w:hAnsi="Georgia"/>
          <w:b/>
          <w:bCs/>
          <w:color w:val="444444"/>
          <w:sz w:val="22"/>
          <w:szCs w:val="22"/>
        </w:rPr>
        <w:t xml:space="preserve">5.3.3 Income Taxes</w:t>
      </w:r>
    </w:p>
    <w:p>
      <w:pPr>
        <w:spacing w:after="150" w:before="0"/>
        <w:jc w:val="both"/>
      </w:pPr>
      <w:r>
        <w:rPr>
          <w:rFonts w:ascii="Calibri" w:cs="Calibri" w:eastAsia="Calibri" w:hAnsi="Calibri"/>
          <w:color w:val="333333"/>
          <w:sz w:val="22"/>
          <w:szCs w:val="22"/>
        </w:rPr>
        <w:t xml:space="preserve">The income tax provision follows the estimated annual ETR method per ASC 740. Deferred taxes are recorded for temporary differences using enacted tax rates. A valuation allowance is established when it is more likely than not that some portion of deferred tax assets will not be realized. Uncertain tax positions are evaluated using the two-step recognition and measurement approach under ASC 740-10.</w:t>
      </w:r>
    </w:p>
    <w:p>
      <w:pPr>
        <w:pStyle w:val="Heading2"/>
        <w:spacing w:after="150" w:before="300"/>
      </w:pPr>
      <w:r>
        <w:rPr>
          <w:rFonts w:ascii="Georgia" w:cs="Georgia" w:eastAsia="Georgia" w:hAnsi="Georgia"/>
          <w:b/>
          <w:bCs/>
          <w:color w:val="333333"/>
          <w:sz w:val="26"/>
          <w:szCs w:val="26"/>
        </w:rPr>
        <w:t xml:space="preserve">5.4 New Standard Implementation</w:t>
      </w:r>
    </w:p>
    <w:p>
      <w:pPr>
        <w:spacing w:after="150" w:before="0"/>
        <w:jc w:val="both"/>
      </w:pPr>
      <w:r>
        <w:rPr>
          <w:rFonts w:ascii="Calibri" w:cs="Calibri" w:eastAsia="Calibri" w:hAnsi="Calibri"/>
          <w:color w:val="333333"/>
          <w:sz w:val="22"/>
          <w:szCs w:val="22"/>
        </w:rPr>
        <w:t xml:space="preserve">When new ASC updates are issued, the Controller shall: assess applicability to [Company Name] within [30] days of issuance, perform an impact assessment for applicable standards, develop an implementation plan (for significant standards), update this manual for the new standard before the effective date, and communicate the impact to the CFO, Audit Committee, and external auditor.</w:t>
      </w:r>
    </w:p>
    <w:p>
      <w:pPr>
        <w:pStyle w:val="Heading2"/>
        <w:spacing w:after="150" w:before="300"/>
      </w:pPr>
      <w:r>
        <w:rPr>
          <w:rFonts w:ascii="Georgia" w:cs="Georgia" w:eastAsia="Georgia" w:hAnsi="Georgia"/>
          <w:b/>
          <w:bCs/>
          <w:color w:val="333333"/>
          <w:sz w:val="26"/>
          <w:szCs w:val="26"/>
        </w:rPr>
        <w:t xml:space="preserve">5.5 Technical Accounting Memo Process</w:t>
      </w:r>
    </w:p>
    <w:p>
      <w:pPr>
        <w:spacing w:after="150" w:before="0"/>
        <w:jc w:val="both"/>
      </w:pPr>
      <w:r>
        <w:rPr>
          <w:rFonts w:ascii="Calibri" w:cs="Calibri" w:eastAsia="Calibri" w:hAnsi="Calibri"/>
          <w:color w:val="333333"/>
          <w:sz w:val="22"/>
          <w:szCs w:val="22"/>
        </w:rPr>
        <w:t xml:space="preserve">A technical accounting memo shall be prepared for: transactions exceeding [threshold] with accounting complexity, new transaction types not previously addressed, application of critical accounting estimates with material impact, and any position where reasonable professionals could disagree. The memo shall include: facts and background, applicable GAAP references, analysis of alternatives, conclusion and rationale, and financial impact. The Controller shall review and approve all memos. Memos for material positions shall be shared with the external auditor.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Accounting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Application of existing policy to routine transactions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Technical accounting memo (new or complex transaction)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Accounting policy election or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Critical accounting estimate methodology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standard implementation plan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significant standards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Materiality threshold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 + External Auditor discussion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Manual update (routine)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Manual update (significant policy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Accounting questions not addressed by this manual shall be escalated to the Controller. If the Controller determines the question involves a significant judgment, a technical accounting memo shall be prepared. Disagreements with the external auditor on accounting treatment shall be escalated to the CFO and, if unresolved, to the Audit Committee. [Company Name] shall not adopt an accounting treatment that the external auditor has indicated they would not support.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manual review and update by the Controller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critical accounting estimates for continued reasonableness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new standard assessment and implementation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external auditor review of the manual for consistency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technical memo preparation for new transaction types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Manual currency (last full review)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Technical memos prepared for qualifying transactions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New standard implementation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adjustments due to policy misapplication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estimate accuracy (actual vs. estimate, trailing)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Reasonable range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60 policies in the CFO Policy Library (this manual is the accounting companion to all operational policies)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Codification (full)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Financial Reporting Manual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AICPA Audit and Accounting Guides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Accounting Policy Summary by ASC Topic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ASC Topic</w:t>
            </w:r>
          </w:p>
        </w:tc>
        <w:tc>
          <w:tcPr>
            <w:tcW w:type="dxa" w:w="2400"/>
            <w:shd w:fill="0C0C0C" w:val="clear"/>
          </w:tcPr>
          <w:p>
            <w:pPr>
              <w:spacing w:after="60" w:before="60"/>
            </w:pPr>
            <w:r>
              <w:rPr>
                <w:rFonts w:ascii="Calibri" w:cs="Calibri" w:eastAsia="Calibri" w:hAnsi="Calibri"/>
                <w:b/>
                <w:bCs/>
                <w:color w:val="D4AF37"/>
                <w:sz w:val="20"/>
                <w:szCs w:val="20"/>
              </w:rPr>
              <w:t xml:space="preserve">Policy Summary</w:t>
            </w:r>
          </w:p>
        </w:tc>
        <w:tc>
          <w:tcPr>
            <w:tcW w:type="dxa" w:w="4560"/>
            <w:shd w:fill="0C0C0C" w:val="clear"/>
          </w:tcPr>
          <w:p>
            <w:pPr>
              <w:spacing w:after="60" w:before="60"/>
            </w:pPr>
            <w:r>
              <w:rPr>
                <w:rFonts w:ascii="Calibri" w:cs="Calibri" w:eastAsia="Calibri" w:hAnsi="Calibri"/>
                <w:b/>
                <w:bCs/>
                <w:color w:val="D4AF37"/>
                <w:sz w:val="20"/>
                <w:szCs w:val="20"/>
              </w:rPr>
              <w:t xml:space="preserve">Key Judgment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ASC 606</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Five-step model; cost-to-cost for over-time; SSP per hierarchy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SSP estimation; variable consideration constraint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ASC 842</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Short-term exemption elected; IBR used when implicit rate unavailable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Lease term (renewal options); IBR determination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ASC 350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Annual test Oct 1; qualitative assessment option</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Reporting unit identification; fair value assumptions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ASC 326</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Loss rate method on AR aging; forecast adjustment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Forward-looking adjustment factors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ASC 718</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Black-Scholes; straight-line; forfeiture estimate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Expected term; volatility; forfeiture rate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ASC 740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Estimated annual ETR; two-step UTP</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Valuation allowance; UTP measurement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ASC 330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[FIFO/Avg]; LCNRV quarterly; aging-based reserves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NRV estimation; obsolescence reserve rates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ASC 805</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Acquisition method; fair value at acquisition date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Intangible asset identification and valuation</w:t>
            </w:r>
          </w:p>
        </w:tc>
      </w:tr>
    </w:tbl>
    <w:p>
      <w:pPr>
        <w:pStyle w:val="Heading2"/>
        <w:spacing w:after="150" w:before="300"/>
      </w:pPr>
      <w:r>
        <w:rPr>
          <w:rFonts w:ascii="Georgia" w:cs="Georgia" w:eastAsia="Georgia" w:hAnsi="Georgia"/>
          <w:b/>
          <w:bCs/>
          <w:color w:val="333333"/>
          <w:sz w:val="26"/>
          <w:szCs w:val="26"/>
        </w:rPr>
        <w:t xml:space="preserve">Appendix B — Disclosure Checklist Reference</w:t>
      </w:r>
    </w:p>
    <w:p>
      <w:pPr>
        <w:spacing w:after="150" w:before="0"/>
        <w:jc w:val="both"/>
      </w:pPr>
      <w:r>
        <w:rPr>
          <w:rFonts w:ascii="Calibri" w:cs="Calibri" w:eastAsia="Calibri" w:hAnsi="Calibri"/>
          <w:color w:val="333333"/>
          <w:sz w:val="22"/>
          <w:szCs w:val="22"/>
        </w:rPr>
        <w:t xml:space="preserve">The Controller maintains a comprehensive disclosure checklist organized by ASC topic. The checklist is completed each quarter (abbreviated) and annually (full) to ensure all required disclosures are addressed in the financial statements and footnotes. The checklist is updated annually for new ASC requirements.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Financial Reporting Manual / GAAP Application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2026-07-13T08:39:07.960Z</dcterms:created>
  <dcterms:modified xsi:type="dcterms:W3CDTF">2026-07-13T08:39:07.974Z</dcterms:modified>
</cp:coreProperties>
</file>

<file path=docProps/custom.xml><?xml version="1.0" encoding="utf-8"?>
<Properties xmlns="http://schemas.openxmlformats.org/officeDocument/2006/custom-properties" xmlns:vt="http://schemas.openxmlformats.org/officeDocument/2006/docPropsVTypes"/>
</file>