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Petty Cash &amp; Corporate Card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Petty Cash and Corporate Card Policy establishes the standards, procedures, and controls governing the use of petty cash funds and corporate payment cards (purchasing cards, travel cards, and virtual cards) at [Company Name]. The policy ensures that small-value transactions are processed efficiently while maintaining adequate controls over company funds.</w:t>
      </w:r>
    </w:p>
    <w:p>
      <w:pPr>
        <w:spacing w:after="150" w:before="0"/>
        <w:jc w:val="both"/>
      </w:pPr>
      <w:r>
        <w:rPr>
          <w:rFonts w:ascii="Calibri" w:cs="Calibri" w:eastAsia="Calibri" w:hAnsi="Calibri"/>
          <w:color w:val="333333"/>
          <w:sz w:val="22"/>
          <w:szCs w:val="22"/>
        </w:rPr>
        <w:t xml:space="preserve">This policy applies to all petty cash funds maintained at [Company Name] locations and all corporate payment cards issued to employees.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efficient payment mechanisms for small-value business expenses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adequate controls over petty cash and corporate card transactions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misuse, theft, and fraud through segregation of duties and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documentation and coding of all transactions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IRS requirements for substantiation of business expenses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Reduce the administrative cost of processing low-value transactions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Petty Cash Fund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imprest cash fund maintained at a business location for small, incidental business expenses.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Imprest System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fund management approach where the fund is replenished to a fixed amount after disbursements are made.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Corporate Card (P-Card)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company-issued payment card used for business purchases, with transactions charged directly to the company.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Single Transaction Limit (STL)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maximum amount that may be charged in a single corporate card transaction.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Monthly Credit Limit (MCL)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maximum total charges permitted on a corporate card in a billing cycle.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Merchant Category Code (MCC)</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four-digit code assigned by card networks to classify the type of business where a transaction occurs.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Virtual Card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single-use or limited-use card number generated for a specific purchase, providing enhanced security.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Cardholder Agreement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document signed by the employee acknowledging the card program rules and their 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Reconciliation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monthly process of matching card transactions to receipts and coding to the correct GL accounts.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Card Administrator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individual responsible for managing the corporate card program (issuance, limits, closures).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Petty Cash</w:t>
      </w:r>
    </w:p>
    <w:p>
      <w:pPr>
        <w:pStyle w:val="Heading3"/>
        <w:spacing w:after="100" w:before="200"/>
      </w:pPr>
      <w:r>
        <w:rPr>
          <w:rFonts w:ascii="Georgia" w:cs="Georgia" w:eastAsia="Georgia" w:hAnsi="Georgia"/>
          <w:b/>
          <w:bCs/>
          <w:color w:val="444444"/>
          <w:sz w:val="22"/>
          <w:szCs w:val="22"/>
        </w:rPr>
        <w:t xml:space="preserve">3.1.1 Fund Establishment</w:t>
      </w:r>
    </w:p>
    <w:p>
      <w:pPr>
        <w:spacing w:after="150" w:before="0"/>
        <w:jc w:val="both"/>
      </w:pPr>
      <w:r>
        <w:rPr>
          <w:rFonts w:ascii="Calibri" w:cs="Calibri" w:eastAsia="Calibri" w:hAnsi="Calibri"/>
          <w:color w:val="333333"/>
          <w:sz w:val="22"/>
          <w:szCs w:val="22"/>
        </w:rPr>
        <w:t xml:space="preserve">Petty cash funds may be established at locations where small cash payments are operationally necessary. Each fund shall have: a designated custodian, a fixed imprest amount (maximum [$500] per fund), a secure storage location (locked box or safe), and Controller approval for establishment. The number of petty cash funds shall be minimized; corporate card or expense reimbursement is preferred.</w:t>
      </w:r>
    </w:p>
    <w:p>
      <w:pPr>
        <w:pStyle w:val="Heading3"/>
        <w:spacing w:after="100" w:before="200"/>
      </w:pPr>
      <w:r>
        <w:rPr>
          <w:rFonts w:ascii="Georgia" w:cs="Georgia" w:eastAsia="Georgia" w:hAnsi="Georgia"/>
          <w:b/>
          <w:bCs/>
          <w:color w:val="444444"/>
          <w:sz w:val="22"/>
          <w:szCs w:val="22"/>
        </w:rPr>
        <w:t xml:space="preserve">3.1.2 Eligible Expenses</w:t>
      </w:r>
    </w:p>
    <w:p>
      <w:pPr>
        <w:spacing w:after="150" w:before="0"/>
        <w:jc w:val="both"/>
      </w:pPr>
      <w:r>
        <w:rPr>
          <w:rFonts w:ascii="Calibri" w:cs="Calibri" w:eastAsia="Calibri" w:hAnsi="Calibri"/>
          <w:color w:val="333333"/>
          <w:sz w:val="22"/>
          <w:szCs w:val="22"/>
        </w:rPr>
        <w:t xml:space="preserve">Petty cash may be used for: office supplies under [$100], postage and shipping, parking and local transportation, small meeting expenses (coffee, refreshments), minor equipment repairs, and other incidental expenses under [$100] per transaction. Petty cash shall NOT be used for: employee advances or loans, personal purchases, recurring vendor payments, purchases that should use a purchase order, or any transaction exceeding [$100].</w:t>
      </w:r>
    </w:p>
    <w:p>
      <w:pPr>
        <w:pStyle w:val="Heading3"/>
        <w:spacing w:after="100" w:before="200"/>
      </w:pPr>
      <w:r>
        <w:rPr>
          <w:rFonts w:ascii="Georgia" w:cs="Georgia" w:eastAsia="Georgia" w:hAnsi="Georgia"/>
          <w:b/>
          <w:bCs/>
          <w:color w:val="444444"/>
          <w:sz w:val="22"/>
          <w:szCs w:val="22"/>
        </w:rPr>
        <w:t xml:space="preserve">3.1.3 Custodian Responsibilities</w:t>
      </w:r>
    </w:p>
    <w:p>
      <w:pPr>
        <w:spacing w:after="150" w:before="0"/>
        <w:jc w:val="both"/>
      </w:pPr>
      <w:r>
        <w:rPr>
          <w:rFonts w:ascii="Calibri" w:cs="Calibri" w:eastAsia="Calibri" w:hAnsi="Calibri"/>
          <w:color w:val="333333"/>
          <w:sz w:val="22"/>
          <w:szCs w:val="22"/>
        </w:rPr>
        <w:t xml:space="preserve">The petty cash custodian shall: maintain the fund in a locked, secure location, require a signed receipt for every disbursement, never allow IOUs (advances without receipts), reconcile the fund at least monthly (cash + receipts = imprest amount), and submit the replenishment request with all supporting receipts.</w:t>
      </w:r>
    </w:p>
    <w:p>
      <w:pPr>
        <w:pStyle w:val="Heading3"/>
        <w:spacing w:after="100" w:before="200"/>
      </w:pPr>
      <w:r>
        <w:rPr>
          <w:rFonts w:ascii="Georgia" w:cs="Georgia" w:eastAsia="Georgia" w:hAnsi="Georgia"/>
          <w:b/>
          <w:bCs/>
          <w:color w:val="444444"/>
          <w:sz w:val="22"/>
          <w:szCs w:val="22"/>
        </w:rPr>
        <w:t xml:space="preserve">3.1.4 Reconciliation and Replenishment</w:t>
      </w:r>
    </w:p>
    <w:p>
      <w:pPr>
        <w:spacing w:after="150" w:before="0"/>
        <w:jc w:val="both"/>
      </w:pPr>
      <w:r>
        <w:rPr>
          <w:rFonts w:ascii="Calibri" w:cs="Calibri" w:eastAsia="Calibri" w:hAnsi="Calibri"/>
          <w:color w:val="333333"/>
          <w:sz w:val="22"/>
          <w:szCs w:val="22"/>
        </w:rPr>
        <w:t xml:space="preserve">The custodian shall reconcile the fund monthly and submit a replenishment request to AP. The request shall include: all original receipts with business purpose documented, the petty cash log showing each disbursement, and the GL account coding for each expense. AP shall verify the reconciliation and process the replenishment check. A different individual from the custodian shall verify the reconciliation (segregation of duties).</w:t>
      </w:r>
    </w:p>
    <w:p>
      <w:pPr>
        <w:pStyle w:val="Heading2"/>
        <w:spacing w:after="150" w:before="300"/>
      </w:pPr>
      <w:r>
        <w:rPr>
          <w:rFonts w:ascii="Georgia" w:cs="Georgia" w:eastAsia="Georgia" w:hAnsi="Georgia"/>
          <w:b/>
          <w:bCs/>
          <w:color w:val="333333"/>
          <w:sz w:val="26"/>
          <w:szCs w:val="26"/>
        </w:rPr>
        <w:t xml:space="preserve">3.2 Corporate Card Program</w:t>
      </w:r>
    </w:p>
    <w:p>
      <w:pPr>
        <w:pStyle w:val="Heading3"/>
        <w:spacing w:after="100" w:before="200"/>
      </w:pPr>
      <w:r>
        <w:rPr>
          <w:rFonts w:ascii="Georgia" w:cs="Georgia" w:eastAsia="Georgia" w:hAnsi="Georgia"/>
          <w:b/>
          <w:bCs/>
          <w:color w:val="444444"/>
          <w:sz w:val="22"/>
          <w:szCs w:val="22"/>
        </w:rPr>
        <w:t xml:space="preserve">3.2.1 Card Issuance</w:t>
      </w:r>
    </w:p>
    <w:p>
      <w:pPr>
        <w:spacing w:after="150" w:before="0"/>
        <w:jc w:val="both"/>
      </w:pPr>
      <w:r>
        <w:rPr>
          <w:rFonts w:ascii="Calibri" w:cs="Calibri" w:eastAsia="Calibri" w:hAnsi="Calibri"/>
          <w:color w:val="333333"/>
          <w:sz w:val="22"/>
          <w:szCs w:val="22"/>
        </w:rPr>
        <w:t xml:space="preserve">Corporate cards are issued to employees whose roles require frequent business purchases, subject to: manager approval, signed cardholder agreement, and Card Administrator setup. Card limits shall be set based on role: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 Level</w:t>
            </w:r>
          </w:p>
        </w:tc>
        <w:tc>
          <w:tcPr>
            <w:tcW w:type="dxa" w:w="6160"/>
            <w:shd w:fill="0C0C0C" w:val="clear"/>
          </w:tcPr>
          <w:p>
            <w:pPr>
              <w:spacing w:after="60" w:before="60"/>
            </w:pPr>
            <w:r>
              <w:rPr>
                <w:rFonts w:ascii="Calibri" w:cs="Calibri" w:eastAsia="Calibri" w:hAnsi="Calibri"/>
                <w:b/>
                <w:bCs/>
                <w:color w:val="D4AF37"/>
                <w:sz w:val="20"/>
                <w:szCs w:val="20"/>
              </w:rPr>
              <w:t xml:space="preserve">Single Transaction Limit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Individual Contributor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$500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Director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$2,500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VP and above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$5,000</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Limits may be adjusted by the Card Administrator with CFO approval for specific business needs.</w:t>
      </w:r>
    </w:p>
    <w:p>
      <w:pPr>
        <w:pStyle w:val="Heading3"/>
        <w:spacing w:after="100" w:before="200"/>
      </w:pPr>
      <w:r>
        <w:rPr>
          <w:rFonts w:ascii="Georgia" w:cs="Georgia" w:eastAsia="Georgia" w:hAnsi="Georgia"/>
          <w:b/>
          <w:bCs/>
          <w:color w:val="444444"/>
          <w:sz w:val="22"/>
          <w:szCs w:val="22"/>
        </w:rPr>
        <w:t xml:space="preserve">3.2.2 Permitted and Prohibited Purchases</w:t>
      </w:r>
    </w:p>
    <w:p>
      <w:pPr>
        <w:spacing w:after="150" w:before="0"/>
        <w:jc w:val="both"/>
      </w:pPr>
      <w:r>
        <w:rPr>
          <w:rFonts w:ascii="Calibri" w:cs="Calibri" w:eastAsia="Calibri" w:hAnsi="Calibri"/>
          <w:color w:val="333333"/>
          <w:sz w:val="22"/>
          <w:szCs w:val="22"/>
        </w:rPr>
        <w:t xml:space="preserve">Corporate cards may be used for: office supplies and equipment, software subscriptions under the card limit, business travel (airfare, hotel, ground transportation), business meals and entertainment (per the Expense Policy), conference and training registrations, and shipping and postage.</w:t>
      </w:r>
    </w:p>
    <w:p>
      <w:pPr>
        <w:spacing w:after="150" w:before="0"/>
        <w:jc w:val="both"/>
      </w:pPr>
      <w:r>
        <w:rPr>
          <w:rFonts w:ascii="Calibri" w:cs="Calibri" w:eastAsia="Calibri" w:hAnsi="Calibri"/>
          <w:color w:val="333333"/>
          <w:sz w:val="22"/>
          <w:szCs w:val="22"/>
        </w:rPr>
        <w:t xml:space="preserve">Corporate cards shall NOT be used for: personal purchases of any kind, cash advances or ATM withdrawals, gift cards or prepaid cards, capital expenditures (use the CapEx process), purchases requiring a purchase order, political contributions, or any purchase prohibited by the Expense Policy.</w:t>
      </w:r>
    </w:p>
    <w:p>
      <w:pPr>
        <w:pStyle w:val="Heading3"/>
        <w:spacing w:after="100" w:before="200"/>
      </w:pPr>
      <w:r>
        <w:rPr>
          <w:rFonts w:ascii="Georgia" w:cs="Georgia" w:eastAsia="Georgia" w:hAnsi="Georgia"/>
          <w:b/>
          <w:bCs/>
          <w:color w:val="444444"/>
          <w:sz w:val="22"/>
          <w:szCs w:val="22"/>
        </w:rPr>
        <w:t xml:space="preserve">3.2.3 Merchant Category Restrictions</w:t>
      </w:r>
    </w:p>
    <w:p>
      <w:pPr>
        <w:spacing w:after="150" w:before="0"/>
        <w:jc w:val="both"/>
      </w:pPr>
      <w:r>
        <w:rPr>
          <w:rFonts w:ascii="Calibri" w:cs="Calibri" w:eastAsia="Calibri" w:hAnsi="Calibri"/>
          <w:color w:val="333333"/>
          <w:sz w:val="22"/>
          <w:szCs w:val="22"/>
        </w:rPr>
        <w:t xml:space="preserve">The Card Administrator shall configure MCC restrictions to block high-risk merchant categories: casinos and gambling, jewelry stores, liquor stores (standalone), money transfer services, and other categories determined by the CFO.</w:t>
      </w:r>
    </w:p>
    <w:p>
      <w:pPr>
        <w:pStyle w:val="Heading3"/>
        <w:spacing w:after="100" w:before="200"/>
      </w:pPr>
      <w:r>
        <w:rPr>
          <w:rFonts w:ascii="Georgia" w:cs="Georgia" w:eastAsia="Georgia" w:hAnsi="Georgia"/>
          <w:b/>
          <w:bCs/>
          <w:color w:val="444444"/>
          <w:sz w:val="22"/>
          <w:szCs w:val="22"/>
        </w:rPr>
        <w:t xml:space="preserve">3.2.4 Monthly Reconciliation</w:t>
      </w:r>
    </w:p>
    <w:p>
      <w:pPr>
        <w:spacing w:after="150" w:before="0"/>
        <w:jc w:val="both"/>
      </w:pPr>
      <w:r>
        <w:rPr>
          <w:rFonts w:ascii="Calibri" w:cs="Calibri" w:eastAsia="Calibri" w:hAnsi="Calibri"/>
          <w:color w:val="333333"/>
          <w:sz w:val="22"/>
          <w:szCs w:val="22"/>
        </w:rPr>
        <w:t xml:space="preserve">Cardholders shall reconcile their transactions monthly by: attaching itemized receipts for every transaction, providing business purpose documentation, coding each transaction to the correct GL account and cost center, and submitting the reconciliation by [15] days after the statement date. Unreconciled transactions after [30] days result in: first occurrence — written warning, second occurrence — temporary card suspension, third occurrence — permanent revocation.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the card program policy. Reviews card program costs and compliance quarterly.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Oversees petty cash controls. Reviews card reconciliation compliance. Approves new petty cash funds.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Card Administrator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card issuance, limits, and closures. Configures MCC restrictions. Monitors compliance.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AP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Processes petty cash replenishments. Reviews card expense coding. Monitors unreconciled transactions.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Cardholders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Use cards per policy. Reconcile monthly. Maintain receipts. Report lost/stolen cards immediately.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Petty Cash Custodians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Maintain fund security. Document all disbursements. Reconcile monthly. Submit replenishment requests.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Managers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 card issuance for reports. Review cardholder reconciliations. Address policy violations.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petty cash and card controls. Conducts surprise cash counts. Reviews transaction patterns.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Surprise Petty Cash Counts</w:t>
      </w:r>
    </w:p>
    <w:p>
      <w:pPr>
        <w:spacing w:after="150" w:before="0"/>
        <w:jc w:val="both"/>
      </w:pPr>
      <w:r>
        <w:rPr>
          <w:rFonts w:ascii="Calibri" w:cs="Calibri" w:eastAsia="Calibri" w:hAnsi="Calibri"/>
          <w:color w:val="333333"/>
          <w:sz w:val="22"/>
          <w:szCs w:val="22"/>
        </w:rPr>
        <w:t xml:space="preserve">Internal Audit or the Controller shall conduct surprise counts of petty cash funds at least [quarterly]. The count shall verify: total cash + receipts = imprest amount, all disbursements have supporting receipts, no IOUs are in the fund, the fund is stored securely, and the custodian can explain all recent transactions. Discrepancies shall be investigated immediately.</w:t>
      </w:r>
    </w:p>
    <w:p>
      <w:pPr>
        <w:pStyle w:val="Heading2"/>
        <w:spacing w:after="150" w:before="300"/>
      </w:pPr>
      <w:r>
        <w:rPr>
          <w:rFonts w:ascii="Georgia" w:cs="Georgia" w:eastAsia="Georgia" w:hAnsi="Georgia"/>
          <w:b/>
          <w:bCs/>
          <w:color w:val="333333"/>
          <w:sz w:val="26"/>
          <w:szCs w:val="26"/>
        </w:rPr>
        <w:t xml:space="preserve">5.2 Lost or Stolen Cards</w:t>
      </w:r>
    </w:p>
    <w:p>
      <w:pPr>
        <w:spacing w:after="150" w:before="0"/>
        <w:jc w:val="both"/>
      </w:pPr>
      <w:r>
        <w:rPr>
          <w:rFonts w:ascii="Calibri" w:cs="Calibri" w:eastAsia="Calibri" w:hAnsi="Calibri"/>
          <w:color w:val="333333"/>
          <w:sz w:val="22"/>
          <w:szCs w:val="22"/>
        </w:rPr>
        <w:t xml:space="preserve">Cardholders shall report lost or stolen cards immediately to: the card issuer's fraud hotline (available 24/7), the Card Administrator, and their manager. The Card Administrator shall: cancel the card immediately, review recent transactions for unauthorized charges, issue a replacement card, and report suspected fraud to the Controller and, if confirmed, to Security/Legal.</w:t>
      </w:r>
    </w:p>
    <w:p>
      <w:pPr>
        <w:pStyle w:val="Heading2"/>
        <w:spacing w:after="150" w:before="300"/>
      </w:pPr>
      <w:r>
        <w:rPr>
          <w:rFonts w:ascii="Georgia" w:cs="Georgia" w:eastAsia="Georgia" w:hAnsi="Georgia"/>
          <w:b/>
          <w:bCs/>
          <w:color w:val="333333"/>
          <w:sz w:val="26"/>
          <w:szCs w:val="26"/>
        </w:rPr>
        <w:t xml:space="preserve">5.3 Card Transaction Monitoring</w:t>
      </w:r>
    </w:p>
    <w:p>
      <w:pPr>
        <w:spacing w:after="150" w:before="0"/>
        <w:jc w:val="both"/>
      </w:pPr>
      <w:r>
        <w:rPr>
          <w:rFonts w:ascii="Calibri" w:cs="Calibri" w:eastAsia="Calibri" w:hAnsi="Calibri"/>
          <w:color w:val="333333"/>
          <w:sz w:val="22"/>
          <w:szCs w:val="22"/>
        </w:rPr>
        <w:t xml:space="preserve">The Card Administrator shall implement automated monitoring for: transactions at blocked MCCs that bypass controls, transactions just below the single transaction limit (split transaction indicator), weekend and holiday transactions, transactions in geographic locations inconsistent with the cardholder's role, and declining merchants (merchants known for high fraud rates). Flagged transactions shall be reviewed within [5] business days.</w:t>
      </w:r>
    </w:p>
    <w:p>
      <w:pPr>
        <w:pStyle w:val="Heading2"/>
        <w:spacing w:after="150" w:before="300"/>
      </w:pPr>
      <w:r>
        <w:rPr>
          <w:rFonts w:ascii="Georgia" w:cs="Georgia" w:eastAsia="Georgia" w:hAnsi="Georgia"/>
          <w:b/>
          <w:bCs/>
          <w:color w:val="333333"/>
          <w:sz w:val="26"/>
          <w:szCs w:val="26"/>
        </w:rPr>
        <w:t xml:space="preserve">5.4 Card Program Analytics</w:t>
      </w:r>
    </w:p>
    <w:p>
      <w:pPr>
        <w:spacing w:after="150" w:before="0"/>
        <w:jc w:val="both"/>
      </w:pPr>
      <w:r>
        <w:rPr>
          <w:rFonts w:ascii="Calibri" w:cs="Calibri" w:eastAsia="Calibri" w:hAnsi="Calibri"/>
          <w:color w:val="333333"/>
          <w:sz w:val="22"/>
          <w:szCs w:val="22"/>
        </w:rPr>
        <w:t xml:space="preserve">AP shall prepare quarterly card program analytics: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Total card spend by category, cardholder, and department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Reconciliation compliance rate (% reconciled within 15 days)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Policy violation rate (blocked transactions, missing receipts, personal purchases)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Rebate revenue from the card program (if applicable)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Average transaction size and frequency trends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Comparison of card spend to expense report reimbursements (channel optimization)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Action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Petty cash fund establishment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Petty cash imprest amount increase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Corporate card issuance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Manager + Card Administrator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Card limit increase (temporary)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Up to 2x standard</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Card Administrator + Manager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Card limit increase (permanent)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Above standard</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Petty cash disbursement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$100 per transaction</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Petty Cash Custodian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Card program MCC restriction change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Card Administrator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Card revocation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Card Administrator + Manager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Exceptions to petty cash limits (transactions &gt; $100) require Controller pre-approval. Exceptions to card limits require CFO approval. Employees who consistently violate card policy (late reconciliation, missing receipts, personal purchases) shall be subject to progressive discipline: warning, suspension, revocation. Suspected fraud or theft shall be escalated to the Controller, Security, and Legal per the Fraud Prevention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card reconciliation compliance tracking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surprise petty cash counts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card transaction monitoring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card program cost-benefit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internal audit of petty cash and card controls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Petty cash fund accuracy (surprise count)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Card reconciliation within 15 days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[95%+]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Missing receipt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[3%]</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Policy violation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[2%] of transactions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Card program rebate capture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of eligible rebates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Fraud losses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Expense Reimbursement &amp; Travel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Payable &amp; Disbursement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Fraud Prevention &amp; Whistleblower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IRS Publication 463 (Travel, Gift, and Car Expenses)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Petty Cash Log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2400"/>
            <w:shd w:fill="0C0C0C" w:val="clear"/>
          </w:tcPr>
          <w:p>
            <w:pPr>
              <w:spacing w:after="60" w:before="60"/>
            </w:pPr>
            <w:r>
              <w:rPr>
                <w:rFonts w:ascii="Calibri" w:cs="Calibri" w:eastAsia="Calibri" w:hAnsi="Calibri"/>
                <w:b/>
                <w:bCs/>
                <w:color w:val="D4AF37"/>
                <w:sz w:val="20"/>
                <w:szCs w:val="20"/>
              </w:rPr>
              <w:t xml:space="preserve">Description</w:t>
            </w:r>
          </w:p>
        </w:tc>
        <w:tc>
          <w:tcPr>
            <w:tcW w:type="dxa" w:w="4560"/>
            <w:shd w:fill="0C0C0C" w:val="clear"/>
          </w:tcPr>
          <w:p>
            <w:pPr>
              <w:spacing w:after="60" w:before="60"/>
            </w:pPr>
            <w:r>
              <w:rPr>
                <w:rFonts w:ascii="Calibri" w:cs="Calibri" w:eastAsia="Calibri" w:hAnsi="Calibri"/>
                <w:b/>
                <w:bCs/>
                <w:color w:val="D4AF37"/>
                <w:sz w:val="20"/>
                <w:szCs w:val="20"/>
              </w:rPr>
              <w:t xml:space="preserve">Amount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pStyle w:val="Heading2"/>
        <w:spacing w:after="150" w:before="300"/>
      </w:pPr>
      <w:r>
        <w:rPr>
          <w:rFonts w:ascii="Georgia" w:cs="Georgia" w:eastAsia="Georgia" w:hAnsi="Georgia"/>
          <w:b/>
          <w:bCs/>
          <w:color w:val="333333"/>
          <w:sz w:val="26"/>
          <w:szCs w:val="26"/>
        </w:rPr>
        <w:t xml:space="preserve">Appendix B — Cardholder Agreement Summary</w:t>
      </w:r>
    </w:p>
    <w:p>
      <w:pPr>
        <w:spacing w:after="150" w:before="0"/>
        <w:jc w:val="both"/>
      </w:pPr>
      <w:r>
        <w:rPr>
          <w:rFonts w:ascii="Calibri" w:cs="Calibri" w:eastAsia="Calibri" w:hAnsi="Calibri"/>
          <w:color w:val="333333"/>
          <w:sz w:val="22"/>
          <w:szCs w:val="22"/>
        </w:rPr>
        <w:t xml:space="preserve">By signing the cardholder agreement, the employee acknowledges: the card is company property and may be revoked at any time, all purchases must be for legitimate business purposes, receipts and business purpose documentation are required for every transaction, reconciliation must be completed within 15 days of the statement date, personal use is prohibited and will result in repayment and disciplinary action, and lost or stolen cards must be reported immediately.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Petty Cash &amp; Corporate Card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2026-07-13T08:23:57.138Z</dcterms:created>
  <dcterms:modified xsi:type="dcterms:W3CDTF">2026-07-13T08:23:57.138Z</dcterms:modified>
</cp:coreProperties>
</file>

<file path=docProps/custom.xml><?xml version="1.0" encoding="utf-8"?>
<Properties xmlns="http://schemas.openxmlformats.org/officeDocument/2006/custom-properties" xmlns:vt="http://schemas.openxmlformats.org/officeDocument/2006/docPropsVTypes"/>
</file>