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Goodwill &amp; Intangible Impairment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Goodwill and Intangible Asset Impairment Policy establishes the standards, procedures, and controls governing how [Company Name] tests goodwill and intangible assets for impairment in compliance with ASC 350 (Intangibles — Goodwill and Other) and ASC 360 (Property, Plant, and Equipment — impairment of long-lived assets including finite-lived intangibles).</w:t>
      </w:r>
    </w:p>
    <w:p>
      <w:pPr>
        <w:spacing w:after="150" w:before="0"/>
        <w:jc w:val="both"/>
      </w:pPr>
      <w:r>
        <w:rPr>
          <w:rFonts w:ascii="Calibri" w:cs="Calibri" w:eastAsia="Calibri" w:hAnsi="Calibri"/>
          <w:color w:val="333333"/>
          <w:sz w:val="22"/>
          <w:szCs w:val="22"/>
        </w:rPr>
        <w:t xml:space="preserve">This policy applies to all goodwill, indefinite-lived intangible assets, and finite-lived intangible assets recorded on [Company Name]'s consolidated balance sheet, whether arising from business combinations, asset acquisitions, or internal development.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Test goodwill for impairment at least annually and whenever triggering events occur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Test indefinite-lived intangibles annually and finite-lived intangibles when triggering events occur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Apply consistent and supportable valuation methodologies for impairment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all impairment analyses to audit-ready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timely recognition of impairment losses when identified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SEC expectations for impairment disclosures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Goodwill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intangible asset representing the excess of the purchase price paid in a business combination over the fair value of net identifiable assets acquired.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Reporting Unit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level at which goodwill is tested for impairment — an operating segment or one level below an operating segment.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Indefinite-Lived Intangible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intangible asset with no foreseeable limit on the period over which it is expected to generate cash flows (e.g., certain trademarks, perpetual licenses).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Finite-Lived Intangible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intangible asset with a determinable useful life (e.g., customer relationships, developed technology, patents).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Triggering Event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event or change in circumstances that indicates the carrying amount of an asset may not be recoverable.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Qualitative Assessment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preliminary evaluation (Step 0) of whether it is more likely than not that the fair value of a reporting unit or intangible is less than its carrying 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Quantitative Test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full fair value determination comparing the fair value of the reporting unit (or asset) to its carrying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Carrying Amount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net book value of the asset or reporting unit on the balance sheet.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Fair Value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price that would be received to sell an asset in an orderly transaction between market participants (ASC 820).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Discount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rate used to discount future cash flows to present value, reflecting the risk of the specific asset or reporting unit.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Annual Testing Date</w:t>
      </w:r>
    </w:p>
    <w:p>
      <w:pPr>
        <w:spacing w:after="150" w:before="0"/>
        <w:jc w:val="both"/>
      </w:pPr>
      <w:r>
        <w:rPr>
          <w:rFonts w:ascii="Calibri" w:cs="Calibri" w:eastAsia="Calibri" w:hAnsi="Calibri"/>
          <w:color w:val="333333"/>
          <w:sz w:val="22"/>
          <w:szCs w:val="22"/>
        </w:rPr>
        <w:t xml:space="preserve">[Company Name] shall perform its annual goodwill and indefinite-lived intangible impairment test as of [October 1 / other date] each year. The testing date shall be consistent from year to year unless a change is justified and disclosed. The annual test date is selected to allow completion before year-end financial reporting while providing current-period data.</w:t>
      </w:r>
    </w:p>
    <w:p>
      <w:pPr>
        <w:pStyle w:val="Heading2"/>
        <w:spacing w:after="150" w:before="300"/>
      </w:pPr>
      <w:r>
        <w:rPr>
          <w:rFonts w:ascii="Georgia" w:cs="Georgia" w:eastAsia="Georgia" w:hAnsi="Georgia"/>
          <w:b/>
          <w:bCs/>
          <w:color w:val="333333"/>
          <w:sz w:val="26"/>
          <w:szCs w:val="26"/>
        </w:rPr>
        <w:t xml:space="preserve">3.2 Qualitative Assessment Option</w:t>
      </w:r>
    </w:p>
    <w:p>
      <w:pPr>
        <w:spacing w:after="150" w:before="0"/>
        <w:jc w:val="both"/>
      </w:pPr>
      <w:r>
        <w:rPr>
          <w:rFonts w:ascii="Calibri" w:cs="Calibri" w:eastAsia="Calibri" w:hAnsi="Calibri"/>
          <w:color w:val="333333"/>
          <w:sz w:val="22"/>
          <w:szCs w:val="22"/>
        </w:rPr>
        <w:t xml:space="preserve">[Company Name] may elect to perform a qualitative assessment (Step 0) before conducting a quantitative impairment test. If the qualitative assessment concludes it is not more likely than not (&gt;50%) that the fair value is less than carrying amount, no quantitative test is required. The qualitative assessment shall consider: macroeconomic conditions, industry and market conditions, cost factors, overall financial performance, entity-specific events, and changes in the reporting unit's carrying amount.</w:t>
      </w:r>
    </w:p>
    <w:p>
      <w:pPr>
        <w:pStyle w:val="Heading2"/>
        <w:spacing w:after="150" w:before="300"/>
      </w:pPr>
      <w:r>
        <w:rPr>
          <w:rFonts w:ascii="Georgia" w:cs="Georgia" w:eastAsia="Georgia" w:hAnsi="Georgia"/>
          <w:b/>
          <w:bCs/>
          <w:color w:val="333333"/>
          <w:sz w:val="26"/>
          <w:szCs w:val="26"/>
        </w:rPr>
        <w:t xml:space="preserve">3.3 Quantitative Impairment Test — Goodwill</w:t>
      </w:r>
    </w:p>
    <w:p>
      <w:pPr>
        <w:spacing w:after="150" w:before="0"/>
        <w:jc w:val="both"/>
      </w:pPr>
      <w:r>
        <w:rPr>
          <w:rFonts w:ascii="Calibri" w:cs="Calibri" w:eastAsia="Calibri" w:hAnsi="Calibri"/>
          <w:color w:val="333333"/>
          <w:sz w:val="22"/>
          <w:szCs w:val="22"/>
        </w:rPr>
        <w:t xml:space="preserve">When a quantitative test is performed: the fair value of the reporting unit is compared to its carrying amount (including goodwill). If carrying amount exceeds fair value, an impairment loss is recognized equal to the excess, limited to the total goodwill allocated to the reporting unit. Previously recognized goodwill impairment losses cannot be reversed.</w:t>
      </w:r>
    </w:p>
    <w:p>
      <w:pPr>
        <w:pStyle w:val="Heading2"/>
        <w:spacing w:after="150" w:before="300"/>
      </w:pPr>
      <w:r>
        <w:rPr>
          <w:rFonts w:ascii="Georgia" w:cs="Georgia" w:eastAsia="Georgia" w:hAnsi="Georgia"/>
          <w:b/>
          <w:bCs/>
          <w:color w:val="333333"/>
          <w:sz w:val="26"/>
          <w:szCs w:val="26"/>
        </w:rPr>
        <w:t xml:space="preserve">3.4 Impairment of Finite-Lived Intangibles and Long-Lived Assets</w:t>
      </w:r>
    </w:p>
    <w:p>
      <w:pPr>
        <w:spacing w:after="150" w:before="0"/>
        <w:jc w:val="both"/>
      </w:pPr>
      <w:r>
        <w:rPr>
          <w:rFonts w:ascii="Calibri" w:cs="Calibri" w:eastAsia="Calibri" w:hAnsi="Calibri"/>
          <w:color w:val="333333"/>
          <w:sz w:val="22"/>
          <w:szCs w:val="22"/>
        </w:rPr>
        <w:t xml:space="preserve">Finite-lived intangible assets are tested for impairment under ASC 360 when triggering events occur (not annually). The two-step process: Step 1 (Recoverability Test): compare undiscounted future cash flows to carrying amount; if cash flows exceed carrying amount, no impairment. Step 2 (Fair Value Measurement): if undiscounted cash flows are less than carrying amount, measure fair value and recognize the excess of carrying amount over fair value as an impairment loss.</w:t>
      </w:r>
    </w:p>
    <w:p>
      <w:pPr>
        <w:pStyle w:val="Heading2"/>
        <w:spacing w:after="150" w:before="300"/>
      </w:pPr>
      <w:r>
        <w:rPr>
          <w:rFonts w:ascii="Georgia" w:cs="Georgia" w:eastAsia="Georgia" w:hAnsi="Georgia"/>
          <w:b/>
          <w:bCs/>
          <w:color w:val="333333"/>
          <w:sz w:val="26"/>
          <w:szCs w:val="26"/>
        </w:rPr>
        <w:t xml:space="preserve">3.5 Triggering Events</w:t>
      </w:r>
    </w:p>
    <w:p>
      <w:pPr>
        <w:spacing w:after="150" w:before="0"/>
        <w:jc w:val="both"/>
      </w:pPr>
      <w:r>
        <w:rPr>
          <w:rFonts w:ascii="Calibri" w:cs="Calibri" w:eastAsia="Calibri" w:hAnsi="Calibri"/>
          <w:color w:val="333333"/>
          <w:sz w:val="22"/>
          <w:szCs w:val="22"/>
        </w:rPr>
        <w:t xml:space="preserve">The Controller shall evaluate the following triggering events at least quarterly: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decline in stock price or market capitalization below book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adverse change in the business climate, competition, or regulatory environment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Loss of a key customer, contract, or revenue stream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cost overruns or restructuring activities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Goodwill-heavy reporting unit consistently underperforming its forecast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Industry downturn or recession affecting the reporting unit's market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change in management or key personnel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Expectation of selling or disposing of a reporting unit or significant asset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and approves impairment test conclusions. Presents impairment results to the Audit Committee and Board.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impairment testing process. Reviews valuation assumptions. Coordinates with the external auditor. Documents the impairment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cash flow projections for reporting units. Develops long-range forecasts supporting impairment models.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Valuation Firm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independent fair value estimates for reporting units and intangible assets (engaged for significant balances).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impairment for tax deductibility. Advises on book-tax differences from impairment.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the impairment testing process for compliance with this policy and GAAP.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the impairment analysis. Tests key assumptions. Assesses whether impairment is a Critical Audit Matter.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and discusses impairment test results. Challenges key assumptions. Approves material impairment charges.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Reporting Unit Identification</w:t>
      </w:r>
    </w:p>
    <w:p>
      <w:pPr>
        <w:spacing w:after="150" w:before="0"/>
        <w:jc w:val="both"/>
      </w:pPr>
      <w:r>
        <w:rPr>
          <w:rFonts w:ascii="Calibri" w:cs="Calibri" w:eastAsia="Calibri" w:hAnsi="Calibri"/>
          <w:color w:val="333333"/>
          <w:sz w:val="22"/>
          <w:szCs w:val="22"/>
        </w:rPr>
        <w:t xml:space="preserve">Reporting units are identified as operating segments or components one level below an operating segment. A component is a reporting unit if it constitutes a business for which discrete financial information is available and segment management regularly reviews its operating results. Components with similar economic characteristics may be aggregated. The reporting unit structure shall be evaluated annually and upon any organizational restructuring.</w:t>
      </w:r>
    </w:p>
    <w:p>
      <w:pPr>
        <w:pStyle w:val="Heading2"/>
        <w:spacing w:after="150" w:before="300"/>
      </w:pPr>
      <w:r>
        <w:rPr>
          <w:rFonts w:ascii="Georgia" w:cs="Georgia" w:eastAsia="Georgia" w:hAnsi="Georgia"/>
          <w:b/>
          <w:bCs/>
          <w:color w:val="333333"/>
          <w:sz w:val="26"/>
          <w:szCs w:val="26"/>
        </w:rPr>
        <w:t xml:space="preserve">5.2 Goodwill Allocation</w:t>
      </w:r>
    </w:p>
    <w:p>
      <w:pPr>
        <w:spacing w:after="150" w:before="0"/>
        <w:jc w:val="both"/>
      </w:pPr>
      <w:r>
        <w:rPr>
          <w:rFonts w:ascii="Calibri" w:cs="Calibri" w:eastAsia="Calibri" w:hAnsi="Calibri"/>
          <w:color w:val="333333"/>
          <w:sz w:val="22"/>
          <w:szCs w:val="22"/>
        </w:rPr>
        <w:t xml:space="preserve">Goodwill from a business combination shall be allocated to the reporting unit(s) expected to benefit from the synergies of the combination. When a reporting unit is reorganized, goodwill shall be reallocated using a relative fair value approach. The allocation and any reallocations shall be documented and reviewed by the Controller.</w:t>
      </w:r>
    </w:p>
    <w:p>
      <w:pPr>
        <w:pStyle w:val="Heading2"/>
        <w:spacing w:after="150" w:before="300"/>
      </w:pPr>
      <w:r>
        <w:rPr>
          <w:rFonts w:ascii="Georgia" w:cs="Georgia" w:eastAsia="Georgia" w:hAnsi="Georgia"/>
          <w:b/>
          <w:bCs/>
          <w:color w:val="333333"/>
          <w:sz w:val="26"/>
          <w:szCs w:val="26"/>
        </w:rPr>
        <w:t xml:space="preserve">5.3 Valuation Methodology</w:t>
      </w:r>
    </w:p>
    <w:p>
      <w:pPr>
        <w:pStyle w:val="Heading3"/>
        <w:spacing w:after="100" w:before="200"/>
      </w:pPr>
      <w:r>
        <w:rPr>
          <w:rFonts w:ascii="Georgia" w:cs="Georgia" w:eastAsia="Georgia" w:hAnsi="Georgia"/>
          <w:b/>
          <w:bCs/>
          <w:color w:val="444444"/>
          <w:sz w:val="22"/>
          <w:szCs w:val="22"/>
        </w:rPr>
        <w:t xml:space="preserve">5.3.1 Income Approach — Discounted Cash Flow</w:t>
      </w:r>
    </w:p>
    <w:p>
      <w:pPr>
        <w:spacing w:after="150" w:before="0"/>
        <w:jc w:val="both"/>
      </w:pPr>
      <w:r>
        <w:rPr>
          <w:rFonts w:ascii="Calibri" w:cs="Calibri" w:eastAsia="Calibri" w:hAnsi="Calibri"/>
          <w:color w:val="333333"/>
          <w:sz w:val="22"/>
          <w:szCs w:val="22"/>
        </w:rPr>
        <w:t xml:space="preserve">The primary valuation methodology shall be the discounted cash flow (DCF) method: project free cash flows for a discrete period (typically [5] years), apply a terminal value using the Gordon Growth Model or exit multiple, discount to present value using the weighted average cost of capital (WACC) adjusted for reporting unit-specific risk. Key assumptions (revenue growth, margins, CapEx, working capital, WACC, terminal growth rate) shall be documented and supported.</w:t>
      </w:r>
    </w:p>
    <w:p>
      <w:pPr>
        <w:pStyle w:val="Heading3"/>
        <w:spacing w:after="100" w:before="200"/>
      </w:pPr>
      <w:r>
        <w:rPr>
          <w:rFonts w:ascii="Georgia" w:cs="Georgia" w:eastAsia="Georgia" w:hAnsi="Georgia"/>
          <w:b/>
          <w:bCs/>
          <w:color w:val="444444"/>
          <w:sz w:val="22"/>
          <w:szCs w:val="22"/>
        </w:rPr>
        <w:t xml:space="preserve">5.3.2 Market Approach</w:t>
      </w:r>
    </w:p>
    <w:p>
      <w:pPr>
        <w:spacing w:after="150" w:before="0"/>
        <w:jc w:val="both"/>
      </w:pPr>
      <w:r>
        <w:rPr>
          <w:rFonts w:ascii="Calibri" w:cs="Calibri" w:eastAsia="Calibri" w:hAnsi="Calibri"/>
          <w:color w:val="333333"/>
          <w:sz w:val="22"/>
          <w:szCs w:val="22"/>
        </w:rPr>
        <w:t xml:space="preserve">As a corroborative methodology, the market approach shall be used: comparable public company analysis (guideline public company method) applying relevant multiples (EV/EBITDA, EV/Revenue) to reporting unit metrics, and comparable transaction analysis when recent transactions in the industry provide relevant valuation benchmarks. A control premium may be applied when comparing to public company multiples.</w:t>
      </w:r>
    </w:p>
    <w:p>
      <w:pPr>
        <w:pStyle w:val="Heading3"/>
        <w:spacing w:after="100" w:before="200"/>
      </w:pPr>
      <w:r>
        <w:rPr>
          <w:rFonts w:ascii="Georgia" w:cs="Georgia" w:eastAsia="Georgia" w:hAnsi="Georgia"/>
          <w:b/>
          <w:bCs/>
          <w:color w:val="444444"/>
          <w:sz w:val="22"/>
          <w:szCs w:val="22"/>
        </w:rPr>
        <w:t xml:space="preserve">5.3.3 Reconciliation to Market Capitalization</w:t>
      </w:r>
    </w:p>
    <w:p>
      <w:pPr>
        <w:spacing w:after="150" w:before="0"/>
        <w:jc w:val="both"/>
      </w:pPr>
      <w:r>
        <w:rPr>
          <w:rFonts w:ascii="Calibri" w:cs="Calibri" w:eastAsia="Calibri" w:hAnsi="Calibri"/>
          <w:color w:val="333333"/>
          <w:sz w:val="22"/>
          <w:szCs w:val="22"/>
        </w:rPr>
        <w:t xml:space="preserve">The sum of reporting unit fair values shall be reconciled to [Company Name]'s market capitalization. If the aggregate fair value significantly exceeds market capitalization, the implied control premium must be assessed for reasonableness. If market capitalization exceeds aggregate fair value, the gap should be explained (e.g., market expectations for future value creation not captured in current cash flows).</w:t>
      </w:r>
    </w:p>
    <w:p>
      <w:pPr>
        <w:pStyle w:val="Heading2"/>
        <w:spacing w:after="150" w:before="300"/>
      </w:pPr>
      <w:r>
        <w:rPr>
          <w:rFonts w:ascii="Georgia" w:cs="Georgia" w:eastAsia="Georgia" w:hAnsi="Georgia"/>
          <w:b/>
          <w:bCs/>
          <w:color w:val="333333"/>
          <w:sz w:val="26"/>
          <w:szCs w:val="26"/>
        </w:rPr>
        <w:t xml:space="preserve">5.4 Sensitivity Analysis</w:t>
      </w:r>
    </w:p>
    <w:p>
      <w:pPr>
        <w:spacing w:after="150" w:before="0"/>
        <w:jc w:val="both"/>
      </w:pPr>
      <w:r>
        <w:rPr>
          <w:rFonts w:ascii="Calibri" w:cs="Calibri" w:eastAsia="Calibri" w:hAnsi="Calibri"/>
          <w:color w:val="333333"/>
          <w:sz w:val="22"/>
          <w:szCs w:val="22"/>
        </w:rPr>
        <w:t xml:space="preserve">The impairment analysis shall include sensitivity testing of key assumptions: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growth rate: +/- [200] basis points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EBITDA margin: +/- [200] basis points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Discount rate (WACC): +/- [100] basis points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Terminal growth rate: +/- [50] basis points</w:t>
      </w:r>
    </w:p>
    <w:p>
      <w:pPr>
        <w:spacing w:after="150" w:before="0"/>
        <w:jc w:val="both"/>
      </w:pPr>
      <w:r>
        <w:rPr>
          <w:rFonts w:ascii="Calibri" w:cs="Calibri" w:eastAsia="Calibri" w:hAnsi="Calibri"/>
          <w:color w:val="333333"/>
          <w:sz w:val="22"/>
          <w:szCs w:val="22"/>
        </w:rPr>
        <w:t xml:space="preserve">The sensitivity analysis shall identify the breakeven assumption for each key input (the level at which impairment would be triggered). Reporting units where small changes in assumptions trigger impairment shall be highlighted for the Audit Committee.</w:t>
      </w:r>
    </w:p>
    <w:p>
      <w:pPr>
        <w:pStyle w:val="Heading2"/>
        <w:spacing w:after="150" w:before="300"/>
      </w:pPr>
      <w:r>
        <w:rPr>
          <w:rFonts w:ascii="Georgia" w:cs="Georgia" w:eastAsia="Georgia" w:hAnsi="Georgia"/>
          <w:b/>
          <w:bCs/>
          <w:color w:val="333333"/>
          <w:sz w:val="26"/>
          <w:szCs w:val="26"/>
        </w:rPr>
        <w:t xml:space="preserve">5.5 Documentation Requirements</w:t>
      </w:r>
    </w:p>
    <w:p>
      <w:pPr>
        <w:spacing w:after="150" w:before="0"/>
        <w:jc w:val="both"/>
      </w:pPr>
      <w:r>
        <w:rPr>
          <w:rFonts w:ascii="Calibri" w:cs="Calibri" w:eastAsia="Calibri" w:hAnsi="Calibri"/>
          <w:color w:val="333333"/>
          <w:sz w:val="22"/>
          <w:szCs w:val="22"/>
        </w:rPr>
        <w:t xml:space="preserve">The impairment memo shall include: reporting unit identification and goodwill allocation, qualitative assessment conclusion (if elected), quantitative analysis with DCF and market approach details, all key assumptions with supporting rationale, sensitivity analysis and breakeven points, conclusion (impaired or not impaired, with amount if impaired), and comparison to prior-year analysis highlighting changes.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Impairment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testing methodology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Qualitative assessment conclusion (no impairment)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Quantitative test: no impairment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 Auditor discussion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Impairment charge recognition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Impairment charge recognition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Audit Committee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External valuation firm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Reporting unit restructuring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Triggering event assessment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Quarterly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When the Controller identifies a potential triggering event, the CFO shall be notified within [5] business days with a preliminary assessment. If interim impairment testing is warranted, the analysis shall be completed within [30] days. Material impairment charges shall be communicated to the Audit Committee before the financial statements are finalized. Any disagreement with the external auditor on impairment conclusions shall be escalated to the CFO and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triggering event assessment documented by the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impairment test completed by [date] (allowing review before year-end)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comparison of prior-year projections to actual results (forecast accuracy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reporting unit structure for continued appropriateness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auditor review of impairment analysis (annually)</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impairment test completed by target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Impairment analysis documentation completeness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Audit-ready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Forecast accuracy (prior projections vs. actuals)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 for revenue and EBITDA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Reporting units with &lt; [10%] headroom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Highlighted for Audit Committee discussion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Goodwill impairment surprises (not previously disclosed as a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M&amp;A &amp; Corporate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Consolidation &amp; Elimination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350, Intangibles — Goodwill and Other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360, Impairment of Long-Lived Assets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820, Fair Value Measurement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280, Segment Reporting (reporting unit identification)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Impairment Test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Reporting Unit</w:t>
            </w:r>
          </w:p>
        </w:tc>
        <w:tc>
          <w:tcPr>
            <w:tcW w:type="dxa" w:w="6160"/>
            <w:shd w:fill="0C0C0C" w:val="clear"/>
          </w:tcPr>
          <w:p>
            <w:pPr>
              <w:spacing w:after="60" w:before="60"/>
            </w:pPr>
            <w:r>
              <w:rPr>
                <w:rFonts w:ascii="Calibri" w:cs="Calibri" w:eastAsia="Calibri" w:hAnsi="Calibri"/>
                <w:b/>
                <w:bCs/>
                <w:color w:val="D4AF37"/>
                <w:sz w:val="20"/>
                <w:szCs w:val="20"/>
              </w:rPr>
              <w:t xml:space="preserve">Goodwill Balance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[Unit 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[Unit B]</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[Unit 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Consolidated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DCF Assumption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Assumption</w:t>
            </w:r>
          </w:p>
        </w:tc>
        <w:tc>
          <w:tcPr>
            <w:tcW w:type="dxa" w:w="6160"/>
            <w:shd w:fill="0C0C0C" w:val="clear"/>
          </w:tcPr>
          <w:p>
            <w:pPr>
              <w:spacing w:after="60" w:before="60"/>
            </w:pPr>
            <w:r>
              <w:rPr>
                <w:rFonts w:ascii="Calibri" w:cs="Calibri" w:eastAsia="Calibri" w:hAnsi="Calibri"/>
                <w:b/>
                <w:bCs/>
                <w:color w:val="D4AF37"/>
                <w:sz w:val="20"/>
                <w:szCs w:val="20"/>
              </w:rPr>
              <w:t xml:space="preserve">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CAGR (5-year)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Terminal EBITDA margin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WACC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Terminal growth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CapEx as % of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Goodwill &amp; Intangible Impairment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2026-07-13T08:23:57.009Z</dcterms:created>
  <dcterms:modified xsi:type="dcterms:W3CDTF">2026-07-13T08:23:57.009Z</dcterms:modified>
</cp:coreProperties>
</file>

<file path=docProps/custom.xml><?xml version="1.0" encoding="utf-8"?>
<Properties xmlns="http://schemas.openxmlformats.org/officeDocument/2006/custom-properties" xmlns:vt="http://schemas.openxmlformats.org/officeDocument/2006/docPropsVTypes"/>
</file>