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Cost Allocation &amp; Overhead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Cost Allocation and Overhead Policy establishes the standards, procedures, and controls governing how [Company Name] allocates indirect costs, shared service costs, and overhead to products, services, departments, projects, and legal entities. The policy ensures accurate product and service costing, fair interdepartmental charges, compliant government contract cost allocation (if applicable), and reliable profitability analysis.</w:t>
      </w:r>
    </w:p>
    <w:p>
      <w:pPr>
        <w:spacing w:after="150" w:before="0"/>
        <w:jc w:val="both"/>
      </w:pPr>
      <w:r>
        <w:rPr>
          <w:rFonts w:ascii="Calibri" w:cs="Calibri" w:eastAsia="Calibri" w:hAnsi="Calibri"/>
          <w:color w:val="333333"/>
          <w:sz w:val="22"/>
          <w:szCs w:val="22"/>
        </w:rPr>
        <w:t xml:space="preserve">This policy applies to all indirect cost allocation activities including: corporate overhead allocation to business units, shared service cost allocation (IT, HR, Finance, Legal), manufacturing overhead allocation to products, project overhead allocation, and intercompany cost allocation (governed jointly with the Transfer Pricing Policy).</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product, service, and customer profitability analysis is based on accurate and fair cost allocation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consistent allocation methodologies applied uniformly across all business units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GAAP inventory costing requirements (ASC 330) for manufacturing overhead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transfer pricing compliance by documenting arm's length cost allocation methodologies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Enable informed management decisions on pricing, outsourcing, and resource allocation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government contract cost accounting standards (CAS/FAR) if applicable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Direct Cost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cost that can be specifically traced to a single cost object (product, project, department) without allocation.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Indirect Cost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cost that benefits multiple cost objects and must be allocated using a rational methodology.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Overhead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Indirect costs associated with operating the business that cannot be directly traced to specific products or services.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Cost Pool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grouping of indirect costs with a common allocation basis (e.g., IT costs allocated by headcount).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Allocation Base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metric used to distribute a cost pool to cost objects (headcount, revenue, square footage, direct labor hours).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Allocation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cost per unit of the allocation base (cost pool total divided by total allocation base units).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Full Absorption Costing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costing method that assigns all manufacturing costs (direct and indirect) to products, required by GAAP for inventory valuation.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Activity-Based Costing (ABC)</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costing method that assigns overhead based on the activities that drive costs, providing more accurate cost assignment than volume-based methods.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Cost Object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Anything for which a cost measurement is desired: product, service, project, department, customer, or channel.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Chargeback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internal charge from one department to another for services rendered, based on the approved allocation methodology.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Allocation Principles</w:t>
      </w:r>
    </w:p>
    <w:p>
      <w:pPr>
        <w:spacing w:after="150" w:before="0"/>
        <w:jc w:val="both"/>
      </w:pPr>
      <w:r>
        <w:rPr>
          <w:rFonts w:ascii="Calibri" w:cs="Calibri" w:eastAsia="Calibri" w:hAnsi="Calibri"/>
          <w:color w:val="333333"/>
          <w:sz w:val="22"/>
          <w:szCs w:val="22"/>
        </w:rPr>
        <w:t xml:space="preserve">All cost allocations shall adhere to the following principles: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Causality — costs should be allocated based on a causal relationship between the cost and the cost object (the driver of the cost)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Benefits received — when causality cannot be established, costs should be allocated based on the relative benefit received by each cost object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Ability to bear — used only as a last resort, allocating costs based on the relative size or revenue of cost objects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Consistency — the same methodology shall be applied consistently across periods and across similar cost objects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Materiality — immaterial costs may be allocated using simplified methods</w:t>
      </w:r>
    </w:p>
    <w:p>
      <w:pPr>
        <w:pStyle w:val="Heading2"/>
        <w:spacing w:after="150" w:before="300"/>
      </w:pPr>
      <w:r>
        <w:rPr>
          <w:rFonts w:ascii="Georgia" w:cs="Georgia" w:eastAsia="Georgia" w:hAnsi="Georgia"/>
          <w:b/>
          <w:bCs/>
          <w:color w:val="333333"/>
          <w:sz w:val="26"/>
          <w:szCs w:val="26"/>
        </w:rPr>
        <w:t xml:space="preserve">3.2 Allocation Methodology by Cost Category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Cost Category</w:t>
            </w:r>
          </w:p>
        </w:tc>
        <w:tc>
          <w:tcPr>
            <w:tcW w:type="dxa" w:w="2400"/>
            <w:shd w:fill="0C0C0C" w:val="clear"/>
          </w:tcPr>
          <w:p>
            <w:pPr>
              <w:spacing w:after="60" w:before="60"/>
            </w:pPr>
            <w:r>
              <w:rPr>
                <w:rFonts w:ascii="Calibri" w:cs="Calibri" w:eastAsia="Calibri" w:hAnsi="Calibri"/>
                <w:b/>
                <w:bCs/>
                <w:color w:val="D4AF37"/>
                <w:sz w:val="20"/>
                <w:szCs w:val="20"/>
              </w:rPr>
              <w:t xml:space="preserve">Primary Allocation Base</w:t>
            </w:r>
          </w:p>
        </w:tc>
        <w:tc>
          <w:tcPr>
            <w:tcW w:type="dxa" w:w="4560"/>
            <w:shd w:fill="0C0C0C" w:val="clear"/>
          </w:tcPr>
          <w:p>
            <w:pPr>
              <w:spacing w:after="60" w:before="60"/>
            </w:pPr>
            <w:r>
              <w:rPr>
                <w:rFonts w:ascii="Calibri" w:cs="Calibri" w:eastAsia="Calibri" w:hAnsi="Calibri"/>
                <w:b/>
                <w:bCs/>
                <w:color w:val="D4AF37"/>
                <w:sz w:val="20"/>
                <w:szCs w:val="20"/>
              </w:rPr>
              <w:t xml:space="preserve">Alternative Base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IT infrastructure and support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Headcount or device count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Revenue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Facilities and occupancy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Square footage occupied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Headcount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Human resources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Headcount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Revenue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Finance and accounting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Headcount or transaction volume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Revenue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Legal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Revenue or direct usage (hours)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Headcount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Executive management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Revenue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Headcount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Manufacturing overhead</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Direct labor hours or machine hours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Units produced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Depreciation (shared assets)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Usage or square footage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Revenue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Insurance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Revenue or asset value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Headcount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Corporate development / M&amp;A</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Direct to acquiring entity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Revenue (if no direct attribution)</w:t>
            </w:r>
          </w:p>
        </w:tc>
      </w:tr>
    </w:tbl>
    <w:p>
      <w:pPr>
        <w:pStyle w:val="Heading2"/>
        <w:spacing w:after="150" w:before="300"/>
      </w:pPr>
      <w:r>
        <w:rPr>
          <w:rFonts w:ascii="Georgia" w:cs="Georgia" w:eastAsia="Georgia" w:hAnsi="Georgia"/>
          <w:b/>
          <w:bCs/>
          <w:color w:val="333333"/>
          <w:sz w:val="26"/>
          <w:szCs w:val="26"/>
        </w:rPr>
        <w:t xml:space="preserve">3.3 Manufacturing Overhead (ASC 330)</w:t>
      </w:r>
    </w:p>
    <w:p>
      <w:pPr>
        <w:spacing w:after="150" w:before="0"/>
        <w:jc w:val="both"/>
      </w:pPr>
      <w:r>
        <w:rPr>
          <w:rFonts w:ascii="Calibri" w:cs="Calibri" w:eastAsia="Calibri" w:hAnsi="Calibri"/>
          <w:color w:val="333333"/>
          <w:sz w:val="22"/>
          <w:szCs w:val="22"/>
        </w:rPr>
        <w:t xml:space="preserve">For companies with inventory, manufacturing overhead shall be allocated to products using full absorption costing per ASC 330. Overhead includes: indirect materials, indirect labor, factory supervision, depreciation of manufacturing equipment, factory rent and utilities, quality control, and production planning. Overhead shall be allocated based on normal production capacity. Unallocated overhead due to abnormally low production shall be expensed as a period cost, not inventoried.</w:t>
      </w:r>
    </w:p>
    <w:p>
      <w:pPr>
        <w:pStyle w:val="Heading2"/>
        <w:spacing w:after="150" w:before="300"/>
      </w:pPr>
      <w:r>
        <w:rPr>
          <w:rFonts w:ascii="Georgia" w:cs="Georgia" w:eastAsia="Georgia" w:hAnsi="Georgia"/>
          <w:b/>
          <w:bCs/>
          <w:color w:val="333333"/>
          <w:sz w:val="26"/>
          <w:szCs w:val="26"/>
        </w:rPr>
        <w:t xml:space="preserve">3.4 Shared Services Allocation</w:t>
      </w:r>
    </w:p>
    <w:p>
      <w:pPr>
        <w:spacing w:after="150" w:before="0"/>
        <w:jc w:val="both"/>
      </w:pPr>
      <w:r>
        <w:rPr>
          <w:rFonts w:ascii="Calibri" w:cs="Calibri" w:eastAsia="Calibri" w:hAnsi="Calibri"/>
          <w:color w:val="333333"/>
          <w:sz w:val="22"/>
          <w:szCs w:val="22"/>
        </w:rPr>
        <w:t xml:space="preserve">Shared service costs (IT, HR, Finance, Legal) shall be allocated to business units using the approved allocation bases. Business units shall receive monthly allocation statements showing: total cost pool, allocation base and rate, their allocation amount, and year-over-year comparison. Business units may challenge allocations through the dispute resolution process in Section 7.</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the allocation methodology. Resolves disputes between business units. Reviews allocation impact on segment profitability.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the allocation methodology documentation. Reviews allocation calculations monthly. Ensures GAAP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Calculates and distributes allocations monthly. Maintains the allocation model. Prepares variance analysis.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Cost Accountant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Maintains manufacturing overhead rates. Calculates standard cost variances. Supports product costing.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Shared Service Leads (IT, HR, etc.)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 cost pool data. Validate allocation base data. Support allocation methodology review.</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Unit Leaders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 monthly allocation statements. Challenge allocations through the dispute process. Manage total cost including allocations.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intercompany allocations for transfer pricing compliance. Ensures documentation meets arm's length standard.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allocation methodology compliance. Verifies allocation calculations. Reviews allocation disputes.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Cost Pool Definition</w:t>
      </w:r>
    </w:p>
    <w:p>
      <w:pPr>
        <w:spacing w:after="150" w:before="0"/>
        <w:jc w:val="both"/>
      </w:pPr>
      <w:r>
        <w:rPr>
          <w:rFonts w:ascii="Calibri" w:cs="Calibri" w:eastAsia="Calibri" w:hAnsi="Calibri"/>
          <w:color w:val="333333"/>
          <w:sz w:val="22"/>
          <w:szCs w:val="22"/>
        </w:rPr>
        <w:t xml:space="preserve">Each cost pool shall be: defined with a clear description of included costs, supported by a GL account mapping (which accounts feed into this pool), reviewed annually for continued relevance and completeness, and documented in the allocation methodology guide maintained by FP&amp;A. Costs shall be assigned to cost pools based on natural groupings of similar costs with common drivers.</w:t>
      </w:r>
    </w:p>
    <w:p>
      <w:pPr>
        <w:pStyle w:val="Heading2"/>
        <w:spacing w:after="150" w:before="300"/>
      </w:pPr>
      <w:r>
        <w:rPr>
          <w:rFonts w:ascii="Georgia" w:cs="Georgia" w:eastAsia="Georgia" w:hAnsi="Georgia"/>
          <w:b/>
          <w:bCs/>
          <w:color w:val="333333"/>
          <w:sz w:val="26"/>
          <w:szCs w:val="26"/>
        </w:rPr>
        <w:t xml:space="preserve">5.2 Allocation Base Selection</w:t>
      </w:r>
    </w:p>
    <w:p>
      <w:pPr>
        <w:spacing w:after="150" w:before="0"/>
        <w:jc w:val="both"/>
      </w:pPr>
      <w:r>
        <w:rPr>
          <w:rFonts w:ascii="Calibri" w:cs="Calibri" w:eastAsia="Calibri" w:hAnsi="Calibri"/>
          <w:color w:val="333333"/>
          <w:sz w:val="22"/>
          <w:szCs w:val="22"/>
        </w:rPr>
        <w:t xml:space="preserve">The allocation base for each cost pool shall be: causally related to the cost (the best predictor of why the cost exists), objectively measurable (not subject to manipulation), readily available from existing data sources, and stable enough for meaningful period-to-period comparison. When multiple bases are equally valid, the simpler method shall be preferred unless the more complex method provides materially different results.</w:t>
      </w:r>
    </w:p>
    <w:p>
      <w:pPr>
        <w:pStyle w:val="Heading2"/>
        <w:spacing w:after="150" w:before="300"/>
      </w:pPr>
      <w:r>
        <w:rPr>
          <w:rFonts w:ascii="Georgia" w:cs="Georgia" w:eastAsia="Georgia" w:hAnsi="Georgia"/>
          <w:b/>
          <w:bCs/>
          <w:color w:val="333333"/>
          <w:sz w:val="26"/>
          <w:szCs w:val="26"/>
        </w:rPr>
        <w:t xml:space="preserve">5.3 Monthly Allocation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FP&amp;A collects cost pool data from the GL after the monthly close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FP&amp;A updates allocation base data (headcount, square footage, etc.) from source systems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FP&amp;A runs the allocation model to calculate each business unit's share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Controller reviews the allocation output for reasonableness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Allocation journal entries are posted to the GL</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Allocation statements are distributed to business unit leaders within [5] business days of close</w:t>
      </w:r>
    </w:p>
    <w:p>
      <w:pPr>
        <w:pStyle w:val="Heading2"/>
        <w:spacing w:after="150" w:before="300"/>
      </w:pPr>
      <w:r>
        <w:rPr>
          <w:rFonts w:ascii="Georgia" w:cs="Georgia" w:eastAsia="Georgia" w:hAnsi="Georgia"/>
          <w:b/>
          <w:bCs/>
          <w:color w:val="333333"/>
          <w:sz w:val="26"/>
          <w:szCs w:val="26"/>
        </w:rPr>
        <w:t xml:space="preserve">5.4 Standard Cost and Overhead Rate Maintenance</w:t>
      </w:r>
    </w:p>
    <w:p>
      <w:pPr>
        <w:pStyle w:val="Heading3"/>
        <w:spacing w:after="100" w:before="200"/>
      </w:pPr>
      <w:r>
        <w:rPr>
          <w:rFonts w:ascii="Georgia" w:cs="Georgia" w:eastAsia="Georgia" w:hAnsi="Georgia"/>
          <w:b/>
          <w:bCs/>
          <w:color w:val="444444"/>
          <w:sz w:val="22"/>
          <w:szCs w:val="22"/>
        </w:rPr>
        <w:t xml:space="preserve">5.4.1 Annual Rate Setting</w:t>
      </w:r>
    </w:p>
    <w:p>
      <w:pPr>
        <w:spacing w:after="150" w:before="0"/>
        <w:jc w:val="both"/>
      </w:pPr>
      <w:r>
        <w:rPr>
          <w:rFonts w:ascii="Calibri" w:cs="Calibri" w:eastAsia="Calibri" w:hAnsi="Calibri"/>
          <w:color w:val="333333"/>
          <w:sz w:val="22"/>
          <w:szCs w:val="22"/>
        </w:rPr>
        <w:t xml:space="preserve">Standard overhead rates shall be set annually during the budget process based on: budgeted overhead costs, budgeted production volume (normal capacity), and the selected allocation base. Rates shall be approved by the Controller before the start of the fiscal year.</w:t>
      </w:r>
    </w:p>
    <w:p>
      <w:pPr>
        <w:pStyle w:val="Heading3"/>
        <w:spacing w:after="100" w:before="200"/>
      </w:pPr>
      <w:r>
        <w:rPr>
          <w:rFonts w:ascii="Georgia" w:cs="Georgia" w:eastAsia="Georgia" w:hAnsi="Georgia"/>
          <w:b/>
          <w:bCs/>
          <w:color w:val="444444"/>
          <w:sz w:val="22"/>
          <w:szCs w:val="22"/>
        </w:rPr>
        <w:t xml:space="preserve">5.4.2 Variance Analysis</w:t>
      </w:r>
    </w:p>
    <w:p>
      <w:pPr>
        <w:spacing w:after="150" w:before="0"/>
        <w:jc w:val="both"/>
      </w:pPr>
      <w:r>
        <w:rPr>
          <w:rFonts w:ascii="Calibri" w:cs="Calibri" w:eastAsia="Calibri" w:hAnsi="Calibri"/>
          <w:color w:val="333333"/>
          <w:sz w:val="22"/>
          <w:szCs w:val="22"/>
        </w:rPr>
        <w:t xml:space="preserve">Manufacturing overhead variances shall be analyzed monthly: spending variance (actual overhead vs. budgeted overhead at actual volume), efficiency variance (actual allocation base usage vs. standard), and volume variance (budgeted overhead at actual volume vs. applied overhead). Material variances require investigation and explanation.</w:t>
      </w:r>
    </w:p>
    <w:p>
      <w:pPr>
        <w:pStyle w:val="Heading3"/>
        <w:spacing w:after="100" w:before="200"/>
      </w:pPr>
      <w:r>
        <w:rPr>
          <w:rFonts w:ascii="Georgia" w:cs="Georgia" w:eastAsia="Georgia" w:hAnsi="Georgia"/>
          <w:b/>
          <w:bCs/>
          <w:color w:val="444444"/>
          <w:sz w:val="22"/>
          <w:szCs w:val="22"/>
        </w:rPr>
        <w:t xml:space="preserve">5.4.3 Over/Under-Absorbed Overhead</w:t>
      </w:r>
    </w:p>
    <w:p>
      <w:pPr>
        <w:spacing w:after="150" w:before="0"/>
        <w:jc w:val="both"/>
      </w:pPr>
      <w:r>
        <w:rPr>
          <w:rFonts w:ascii="Calibri" w:cs="Calibri" w:eastAsia="Calibri" w:hAnsi="Calibri"/>
          <w:color w:val="333333"/>
          <w:sz w:val="22"/>
          <w:szCs w:val="22"/>
        </w:rPr>
        <w:t xml:space="preserve">The difference between overhead applied to products (at standard rates) and actual overhead incurred shall be: tracked monthly in a variance account, allocated between COGS and ending inventory based on their relative balances (for material variances), or expensed entirely to COGS if immaterial. The materiality threshold for allocation vs. expensing shall be set by the Controller.</w:t>
      </w:r>
    </w:p>
    <w:p>
      <w:pPr>
        <w:pStyle w:val="Heading2"/>
        <w:spacing w:after="150" w:before="300"/>
      </w:pPr>
      <w:r>
        <w:rPr>
          <w:rFonts w:ascii="Georgia" w:cs="Georgia" w:eastAsia="Georgia" w:hAnsi="Georgia"/>
          <w:b/>
          <w:bCs/>
          <w:color w:val="333333"/>
          <w:sz w:val="26"/>
          <w:szCs w:val="26"/>
        </w:rPr>
        <w:t xml:space="preserve">5.5 Activity-Based Costing</w:t>
      </w:r>
    </w:p>
    <w:p>
      <w:pPr>
        <w:spacing w:after="150" w:before="0"/>
        <w:jc w:val="both"/>
      </w:pPr>
      <w:r>
        <w:rPr>
          <w:rFonts w:ascii="Calibri" w:cs="Calibri" w:eastAsia="Calibri" w:hAnsi="Calibri"/>
          <w:color w:val="333333"/>
          <w:sz w:val="22"/>
          <w:szCs w:val="22"/>
        </w:rPr>
        <w:t xml:space="preserve">Where traditional volume-based allocation produces materially inaccurate product costs (common when product complexity varies significantly), [Company Name] may supplement standard costing with activity-based costing analysis. ABC shall be used for: strategic product line profitability analysis, make-vs-buy decisions, pricing decisions for complex products, and customer profitability analysis. ABC does not replace the GAAP overhead allocation method for financial reporting but provides management with more accurate cost information for decision-making.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Allocation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Allocation methodology (new or changed)</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Allocation base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Standard overhead rate setting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Annual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Overhead rate mid-year revision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Intercompany cost allocation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Tax Director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Allocation dispute resolution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(final arbiter)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ABC model development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pStyle w:val="Heading2"/>
        <w:spacing w:after="150" w:before="300"/>
      </w:pPr>
      <w:r>
        <w:rPr>
          <w:rFonts w:ascii="Georgia" w:cs="Georgia" w:eastAsia="Georgia" w:hAnsi="Georgia"/>
          <w:b/>
          <w:bCs/>
          <w:color w:val="333333"/>
          <w:sz w:val="26"/>
          <w:szCs w:val="26"/>
        </w:rPr>
        <w:t xml:space="preserve">7.1 Allocation Disputes</w:t>
      </w:r>
    </w:p>
    <w:p>
      <w:pPr>
        <w:spacing w:after="150" w:before="0"/>
        <w:jc w:val="both"/>
      </w:pPr>
      <w:r>
        <w:rPr>
          <w:rFonts w:ascii="Calibri" w:cs="Calibri" w:eastAsia="Calibri" w:hAnsi="Calibri"/>
          <w:color w:val="333333"/>
          <w:sz w:val="22"/>
          <w:szCs w:val="22"/>
        </w:rPr>
        <w:t xml:space="preserve">Business unit leaders who disagree with their allocation may submit a formal dispute within [15] business days of receiving the allocation statement. The dispute shall include: the specific allocation being challenged, the reason for the dispute (methodology, data, or both), and the proposed alternative. FP&amp;A shall investigate within [10] business days. If unresolved, the Controller shall mediate. The CFO is the final arbiter for allocation disputes.</w:t>
      </w:r>
    </w:p>
    <w:p>
      <w:pPr>
        <w:pStyle w:val="Heading2"/>
        <w:spacing w:after="150" w:before="300"/>
      </w:pPr>
      <w:r>
        <w:rPr>
          <w:rFonts w:ascii="Georgia" w:cs="Georgia" w:eastAsia="Georgia" w:hAnsi="Georgia"/>
          <w:b/>
          <w:bCs/>
          <w:color w:val="333333"/>
          <w:sz w:val="26"/>
          <w:szCs w:val="26"/>
        </w:rPr>
        <w:t xml:space="preserve">7.2 New Cost Pools</w:t>
      </w:r>
    </w:p>
    <w:p>
      <w:pPr>
        <w:spacing w:after="150" w:before="0"/>
        <w:jc w:val="both"/>
      </w:pPr>
      <w:r>
        <w:rPr>
          <w:rFonts w:ascii="Calibri" w:cs="Calibri" w:eastAsia="Calibri" w:hAnsi="Calibri"/>
          <w:color w:val="333333"/>
          <w:sz w:val="22"/>
          <w:szCs w:val="22"/>
        </w:rPr>
        <w:t xml:space="preserve">When new shared costs arise (new corporate initiative, new technology platform, new shared service), FP&amp;A shall propose an allocation methodology to the Controller within [30] days. Costs shall not be allocated without an approved methodology.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allocation calculation review by the Controller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variance analysis (actual vs. allocated overhead)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allocation methodology review and documentation update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internal audit of allocation calculations and methodology 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transfer pricing documentation for intercompany allocations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Allocation statements distributed within [5] days of close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Allocation disputes resolved within [30] days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Overhead absorption rate (applied / actual)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[95-105%]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Manufacturing overhead variance (% of total overhead)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Allocation methodology documentation currency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Updated within 12 months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Intercompany Transactions &amp; Transfer Pricing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Inventory Management &amp; Valuation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Budget &amp; Financial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330, Inventory (manufacturing overhead allocation)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FAR Part 31 / CAS (if government contracts apply)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Cost Pool and Allocation Base Matrix</w:t>
      </w:r>
    </w:p>
    <w:p>
      <w:pPr>
        <w:spacing w:after="150" w:before="0"/>
        <w:jc w:val="both"/>
      </w:pPr>
      <w:r>
        <w:rPr>
          <w:rFonts w:ascii="Calibri" w:cs="Calibri" w:eastAsia="Calibri" w:hAnsi="Calibri"/>
          <w:color w:val="333333"/>
          <w:sz w:val="22"/>
          <w:szCs w:val="22"/>
        </w:rPr>
        <w:t xml:space="preserve">The complete matrix documenting each cost pool, its GL account composition, selected allocation base, data source for the base, and current allocation rate. Maintained by FP&amp;A and reviewed annually by the Controller.</w:t>
      </w:r>
    </w:p>
    <w:p>
      <w:pPr>
        <w:pStyle w:val="Heading2"/>
        <w:spacing w:after="150" w:before="300"/>
      </w:pPr>
      <w:r>
        <w:rPr>
          <w:rFonts w:ascii="Georgia" w:cs="Georgia" w:eastAsia="Georgia" w:hAnsi="Georgia"/>
          <w:b/>
          <w:bCs/>
          <w:color w:val="333333"/>
          <w:sz w:val="26"/>
          <w:szCs w:val="26"/>
        </w:rPr>
        <w:t xml:space="preserve">Appendix B — Allocation Statement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Cost Pool</w:t>
            </w:r>
          </w:p>
        </w:tc>
        <w:tc>
          <w:tcPr>
            <w:tcW w:type="dxa" w:w="2400"/>
            <w:shd w:fill="0C0C0C" w:val="clear"/>
          </w:tcPr>
          <w:p>
            <w:pPr>
              <w:spacing w:after="60" w:before="60"/>
            </w:pPr>
            <w:r>
              <w:rPr>
                <w:rFonts w:ascii="Calibri" w:cs="Calibri" w:eastAsia="Calibri" w:hAnsi="Calibri"/>
                <w:b/>
                <w:bCs/>
                <w:color w:val="D4AF37"/>
                <w:sz w:val="20"/>
                <w:szCs w:val="20"/>
              </w:rPr>
              <w:t xml:space="preserve">Total Cost</w:t>
            </w:r>
          </w:p>
        </w:tc>
        <w:tc>
          <w:tcPr>
            <w:tcW w:type="dxa" w:w="4560"/>
            <w:shd w:fill="0C0C0C" w:val="clear"/>
          </w:tcPr>
          <w:p>
            <w:pPr>
              <w:spacing w:after="60" w:before="60"/>
            </w:pPr>
            <w:r>
              <w:rPr>
                <w:rFonts w:ascii="Calibri" w:cs="Calibri" w:eastAsia="Calibri" w:hAnsi="Calibri"/>
                <w:b/>
                <w:bCs/>
                <w:color w:val="D4AF37"/>
                <w:sz w:val="20"/>
                <w:szCs w:val="20"/>
              </w:rPr>
              <w:t xml:space="preserve">Your Allocation Base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IT Infrastructure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Facilities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HR Services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Finance Services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Executive / Corporate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Total Allocated</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pStyle w:val="Heading2"/>
        <w:spacing w:after="150" w:before="300"/>
      </w:pPr>
      <w:r>
        <w:rPr>
          <w:rFonts w:ascii="Georgia" w:cs="Georgia" w:eastAsia="Georgia" w:hAnsi="Georgia"/>
          <w:b/>
          <w:bCs/>
          <w:color w:val="333333"/>
          <w:sz w:val="26"/>
          <w:szCs w:val="26"/>
        </w:rPr>
        <w:t xml:space="preserve">Appendix C — Overhead Rate Calculation</w:t>
      </w:r>
    </w:p>
    <w:p>
      <w:pPr>
        <w:spacing w:after="150" w:before="0"/>
        <w:jc w:val="both"/>
      </w:pPr>
      <w:r>
        <w:rPr>
          <w:rFonts w:ascii="Calibri" w:cs="Calibri" w:eastAsia="Calibri" w:hAnsi="Calibri"/>
          <w:color w:val="333333"/>
          <w:sz w:val="22"/>
          <w:szCs w:val="22"/>
        </w:rPr>
        <w:t xml:space="preserve">The standard overhead rate = Budgeted overhead costs / Budgeted allocation base at normal capacity. Applied overhead = Standard rate x Actual allocation base units consumed. Variance = Applied overhead - Actual overhead incurred.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Cost Allocation &amp; Overhead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2026-07-13T08:23:56.504Z</dcterms:created>
  <dcterms:modified xsi:type="dcterms:W3CDTF">2026-07-13T08:23:56.516Z</dcterms:modified>
</cp:coreProperties>
</file>

<file path=docProps/custom.xml><?xml version="1.0" encoding="utf-8"?>
<Properties xmlns="http://schemas.openxmlformats.org/officeDocument/2006/custom-properties" xmlns:vt="http://schemas.openxmlformats.org/officeDocument/2006/docPropsVTypes"/>
</file>