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Crisis Management &amp; Financial Communications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Crisis Management and Financial Communications Policy establishes the framework for managing [Company Name]'s response to crisis events with significant financial impact and coordinating communications with stakeholders during and after a crisis. The policy ensures that financial implications are assessed rapidly, stakeholders receive timely and accurate information, and the company's reputation and financial position are protected.</w:t>
      </w:r>
    </w:p>
    <w:p>
      <w:pPr>
        <w:spacing w:after="150" w:before="0"/>
        <w:jc w:val="both"/>
      </w:pPr>
      <w:r>
        <w:rPr>
          <w:rFonts w:ascii="Calibri" w:cs="Calibri" w:eastAsia="Calibri" w:hAnsi="Calibri"/>
          <w:color w:val="333333"/>
          <w:sz w:val="22"/>
          <w:szCs w:val="22"/>
        </w:rPr>
        <w:t xml:space="preserve">This policy applies to all events that could materially affect [Company Name]'s financial condition, results of operations, or reputation including: financial restatements, material cybersecurity incidents, regulatory enforcement actions, major litigation developments, executive misconduct, natural disasters affecting operations, supply chain disruptions, and any event requiring SEC disclosure.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rapid assessment of financial impact during a crisis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coordinated, consistent communication across all stakeholder channels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SEC disclosure obligations (8-K, Reg FD) during crisis events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cash flow and liquidity during periods of operational disruption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Preserve relationships with investors, lenders, customers, and employees through transparency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crisis response for post-event review and insurance claims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Crisis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event or series of events that threatens [Company Name]'s financial condition, reputation, operations, or stakeholder relationships and requires an extraordinary response beyond normal business operations.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Crisis Management Team (CMT)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cross-functional team activated to manage [Company Name]'s response to a crisis event.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Impact Assessment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rapid evaluation of a crisis event's impact on revenue, costs, cash flow, assets, liabilities, and financial reporting.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Stakeholder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individual or group affected by or interested in [Company Name]'s crisis response: investors, employees, customers, vendors, regulators, media, and communities.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Holding Statement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initial public communication acknowledging a crisis event while investigations continue.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Dark Site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pre-prepared website or webpage activated during a crisis to provide stakeholder information.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Post-Incident Review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structured review of the crisis response identifying lessons learned and improvement opportunities.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 Event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event that a reasonable investor would consider important in making an investment decision.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Reg FD Considerations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requirement to avoid selective disclosure of MNPI during crisis communications.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 Room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physical or virtual location where the CMT operates during a crisis.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Crisis Classification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Level</w:t>
            </w:r>
          </w:p>
        </w:tc>
        <w:tc>
          <w:tcPr>
            <w:tcW w:type="dxa" w:w="6160"/>
            <w:shd w:fill="0C0C0C" w:val="clear"/>
          </w:tcPr>
          <w:p>
            <w:pPr>
              <w:spacing w:after="60" w:before="60"/>
            </w:pPr>
            <w:r>
              <w:rPr>
                <w:rFonts w:ascii="Calibri" w:cs="Calibri" w:eastAsia="Calibri" w:hAnsi="Calibri"/>
                <w:b/>
                <w:bCs/>
                <w:color w:val="D4AF37"/>
                <w:sz w:val="20"/>
                <w:szCs w:val="20"/>
              </w:rPr>
              <w:t xml:space="preserve">Definition and Response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Level 1 — Monitor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Potential issue identified; no immediate action required. CMT notified; monitoring initiated.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Level 2 — Elevated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Issue has materialized with potential financial or reputational impact. CMT activated; response plan initiated.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Level 3 — Crisis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Material event requiring full CMT activation, executive engagement, and external communication. Board notified within [4] hours.</w:t>
            </w:r>
          </w:p>
        </w:tc>
      </w:tr>
    </w:tbl>
    <w:p>
      <w:pPr>
        <w:pStyle w:val="Heading2"/>
        <w:spacing w:after="150" w:before="300"/>
      </w:pPr>
      <w:r>
        <w:rPr>
          <w:rFonts w:ascii="Georgia" w:cs="Georgia" w:eastAsia="Georgia" w:hAnsi="Georgia"/>
          <w:b/>
          <w:bCs/>
          <w:color w:val="333333"/>
          <w:sz w:val="26"/>
          <w:szCs w:val="26"/>
        </w:rPr>
        <w:t xml:space="preserve">3.2 Crisis Management Team Composition</w:t>
      </w:r>
    </w:p>
    <w:p>
      <w:pPr>
        <w:spacing w:after="150" w:before="0"/>
        <w:jc w:val="both"/>
      </w:pPr>
      <w:r>
        <w:rPr>
          <w:rFonts w:ascii="Calibri" w:cs="Calibri" w:eastAsia="Calibri" w:hAnsi="Calibri"/>
          <w:color w:val="333333"/>
          <w:sz w:val="22"/>
          <w:szCs w:val="22"/>
        </w:rPr>
        <w:t xml:space="preserve">The CMT shall be activated by the CEO or CFO and comprise: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Crisis Responsibility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Overall crisis leadership. External spokesperson for strategic messages.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Financial impact assessment. Investor and lender communication. Insurance claims.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Legal strategy. Regulatory communication. Disclosure obligations. Evidence preservation.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CISO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Cybersecurity incident response (if applicable). Digital forensics. System recovery.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VP Communications / PR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Media relations. Employee communications. Social media monitoring.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VP Investor Relations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Investor and analyst communications. Stock price monitoring. Reg FD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Operational response. Business continuity activation. Customer impact management.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CHRO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Employee communication and support. Safety and wellbeing.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Chair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Board liaison. Governance oversight. Stakeholder engagement as needed.</w:t>
            </w:r>
          </w:p>
        </w:tc>
      </w:tr>
    </w:tbl>
    <w:p>
      <w:pPr>
        <w:pStyle w:val="Heading2"/>
        <w:spacing w:after="150" w:before="300"/>
      </w:pPr>
      <w:r>
        <w:rPr>
          <w:rFonts w:ascii="Georgia" w:cs="Georgia" w:eastAsia="Georgia" w:hAnsi="Georgia"/>
          <w:b/>
          <w:bCs/>
          <w:color w:val="333333"/>
          <w:sz w:val="26"/>
          <w:szCs w:val="26"/>
        </w:rPr>
        <w:t xml:space="preserve">3.3 Communication Principles</w:t>
      </w:r>
    </w:p>
    <w:p>
      <w:pPr>
        <w:spacing w:after="150" w:before="0"/>
        <w:jc w:val="both"/>
      </w:pPr>
      <w:r>
        <w:rPr>
          <w:rFonts w:ascii="Calibri" w:cs="Calibri" w:eastAsia="Calibri" w:hAnsi="Calibri"/>
          <w:color w:val="333333"/>
          <w:sz w:val="22"/>
          <w:szCs w:val="22"/>
        </w:rPr>
        <w:t xml:space="preserve">[Company Name] shall communicate during a crisis following these principles: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Speed: acknowledge the situation quickly (within hours, not days)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Transparency: share facts honestly; never mislead or speculate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Empathy: lead with concern for affected parties before discussing business impact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Consistency: one message across all channels; all spokespersons aligned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Accuracy: verify facts before communicating; correct errors immediately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Cadence: provide regular updates (daily for active crises) even when saying no new information is available</w:t>
      </w:r>
    </w:p>
    <w:p>
      <w:pPr>
        <w:pStyle w:val="Heading2"/>
        <w:spacing w:after="150" w:before="300"/>
      </w:pPr>
      <w:r>
        <w:rPr>
          <w:rFonts w:ascii="Georgia" w:cs="Georgia" w:eastAsia="Georgia" w:hAnsi="Georgia"/>
          <w:b/>
          <w:bCs/>
          <w:color w:val="333333"/>
          <w:sz w:val="26"/>
          <w:szCs w:val="26"/>
        </w:rPr>
        <w:t xml:space="preserve">3.4 SEC Disclosure Obligations</w:t>
      </w:r>
    </w:p>
    <w:p>
      <w:pPr>
        <w:spacing w:after="150" w:before="0"/>
        <w:jc w:val="both"/>
      </w:pPr>
      <w:r>
        <w:rPr>
          <w:rFonts w:ascii="Calibri" w:cs="Calibri" w:eastAsia="Calibri" w:hAnsi="Calibri"/>
          <w:color w:val="333333"/>
          <w:sz w:val="22"/>
          <w:szCs w:val="22"/>
        </w:rPr>
        <w:t xml:space="preserve">Material crisis events may trigger SEC disclosure requirements: Form 8-K (within [4] business days for reportable events), earnings guidance update (if the crisis materially changes the financial outlook), risk factor update (in the next 10-Q or 10-K), and MD&amp;A disclosure (impact on results and liquidity). The General Counsel and CFO shall evaluate disclosure obligations within [24] hours of a Level 3 crisis activation.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p>
      <w:pPr>
        <w:spacing w:after="150" w:before="0"/>
        <w:jc w:val="both"/>
      </w:pPr>
      <w:r>
        <w:rPr>
          <w:rFonts w:ascii="Calibri" w:cs="Calibri" w:eastAsia="Calibri" w:hAnsi="Calibri"/>
          <w:color w:val="333333"/>
          <w:sz w:val="22"/>
          <w:szCs w:val="22"/>
        </w:rPr>
        <w:t xml:space="preserve">See Section 3.2 for the Crisis Management Team and their responsibilities. Additional role-specific procedures:</w:t>
      </w:r>
    </w:p>
    <w:p>
      <w:pPr>
        <w:pStyle w:val="Heading2"/>
        <w:spacing w:after="150" w:before="300"/>
      </w:pPr>
      <w:r>
        <w:rPr>
          <w:rFonts w:ascii="Georgia" w:cs="Georgia" w:eastAsia="Georgia" w:hAnsi="Georgia"/>
          <w:b/>
          <w:bCs/>
          <w:color w:val="333333"/>
          <w:sz w:val="26"/>
          <w:szCs w:val="26"/>
        </w:rPr>
        <w:t xml:space="preserve">4.1 CFO Crisis Responsibilities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Activate the financial impact assessment within [4] hours of crisis activation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emergency cash management procedures if liquidity is threatened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Contact banking partners and lenders if covenant compliance or borrowing capacity may be affected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with the external auditor on financial reporting implications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Prepare financial talking points for investor communications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all financial impacts for insurance claims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Report to the Audit Committee within [24] hours for material financial events</w:t>
      </w:r>
    </w:p>
    <w:p>
      <w:pPr>
        <w:pStyle w:val="Heading2"/>
        <w:spacing w:after="150" w:before="300"/>
      </w:pPr>
      <w:r>
        <w:rPr>
          <w:rFonts w:ascii="Georgia" w:cs="Georgia" w:eastAsia="Georgia" w:hAnsi="Georgia"/>
          <w:b/>
          <w:bCs/>
          <w:color w:val="333333"/>
          <w:sz w:val="26"/>
          <w:szCs w:val="26"/>
        </w:rPr>
        <w:t xml:space="preserve">4.2 Controller Crisis Responsibilities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Assess impact on the financial close process and SEC filing deadlines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Evaluate whether the event triggers asset impairment, contingent liability, or other GAAP considerations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Determine if a restatement assessment is needed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with the SOX team if internal controls are affected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Crisis Response — First 24 Hours</w:t>
      </w:r>
    </w:p>
    <w:p>
      <w:pPr>
        <w:pStyle w:val="Heading3"/>
        <w:spacing w:after="100" w:before="200"/>
      </w:pPr>
      <w:r>
        <w:rPr>
          <w:rFonts w:ascii="Georgia" w:cs="Georgia" w:eastAsia="Georgia" w:hAnsi="Georgia"/>
          <w:b/>
          <w:bCs/>
          <w:color w:val="444444"/>
          <w:sz w:val="22"/>
          <w:szCs w:val="22"/>
        </w:rPr>
        <w:t xml:space="preserve">5.1.1 Hour 0-2: Activation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Crisis detected and reported to the CEO or CFO</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CEO or CFO classifies the crisis level and activates the CMT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CMT assembles (war room or virtual conference)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Initial situation assessment: what happened, what is the scope, who is affected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Evidence preservation directive issued (Legal)</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Holding statement prepared for immediate release if needed</w:t>
      </w:r>
    </w:p>
    <w:p>
      <w:pPr>
        <w:pStyle w:val="Heading3"/>
        <w:spacing w:after="100" w:before="200"/>
      </w:pPr>
      <w:r>
        <w:rPr>
          <w:rFonts w:ascii="Georgia" w:cs="Georgia" w:eastAsia="Georgia" w:hAnsi="Georgia"/>
          <w:b/>
          <w:bCs/>
          <w:color w:val="444444"/>
          <w:sz w:val="22"/>
          <w:szCs w:val="22"/>
        </w:rPr>
        <w:t xml:space="preserve">5.1.2 Hour 2-8: Assessment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CFO initiates the financial impact assessment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Legal evaluates disclosure obligations and regulatory notification requirements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COO activates business continuity plans if operations are disrupted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Communications prepares stakeholder-specific messaging: employees, customers, media, investors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Board Chair notified (Level 3 crises)</w:t>
      </w:r>
    </w:p>
    <w:p>
      <w:pPr>
        <w:pStyle w:val="Heading3"/>
        <w:spacing w:after="100" w:before="200"/>
      </w:pPr>
      <w:r>
        <w:rPr>
          <w:rFonts w:ascii="Georgia" w:cs="Georgia" w:eastAsia="Georgia" w:hAnsi="Georgia"/>
          <w:b/>
          <w:bCs/>
          <w:color w:val="444444"/>
          <w:sz w:val="22"/>
          <w:szCs w:val="22"/>
        </w:rPr>
        <w:t xml:space="preserve">5.1.3 Hour 8-24: Communication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Employee communication issued (before or simultaneously with external communication)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Customer notification if their data, service, or relationship is affected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Media statement released if the event is public or likely to become public</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Investor communication prepared (coordinated with Reg FD review)</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Regulatory notifications made per legal requirements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8-K filing initiated if the event is an 8-K trigger</w:t>
      </w:r>
    </w:p>
    <w:p>
      <w:pPr>
        <w:pStyle w:val="Heading2"/>
        <w:spacing w:after="150" w:before="300"/>
      </w:pPr>
      <w:r>
        <w:rPr>
          <w:rFonts w:ascii="Georgia" w:cs="Georgia" w:eastAsia="Georgia" w:hAnsi="Georgia"/>
          <w:b/>
          <w:bCs/>
          <w:color w:val="333333"/>
          <w:sz w:val="26"/>
          <w:szCs w:val="26"/>
        </w:rPr>
        <w:t xml:space="preserve">5.2 Financial Impact Assessment</w:t>
      </w:r>
    </w:p>
    <w:p>
      <w:pPr>
        <w:spacing w:after="150" w:before="0"/>
        <w:jc w:val="both"/>
      </w:pPr>
      <w:r>
        <w:rPr>
          <w:rFonts w:ascii="Calibri" w:cs="Calibri" w:eastAsia="Calibri" w:hAnsi="Calibri"/>
          <w:color w:val="333333"/>
          <w:sz w:val="22"/>
          <w:szCs w:val="22"/>
        </w:rPr>
        <w:t xml:space="preserve">The CFO shall lead a rapid financial impact assessment covering: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impact: disrupted sales, cancelled contracts, reduced demand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Cost impact: extraordinary expenses, remediation costs, legal fees, consultant fees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Asset impact: impairment of tangible or intangible assets, inventory losses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Liability impact: contingent liabilities, regulatory fines, litigation exposure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flow impact: delayed collections, accelerated payments, insurance deductibles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Covenant impact: effect on leverage, coverage, and other financial covenants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Going concern assessment: if severe, evaluate whether going concern risk exists</w:t>
      </w:r>
    </w:p>
    <w:p>
      <w:pPr>
        <w:spacing w:after="150" w:before="0"/>
        <w:jc w:val="both"/>
      </w:pPr>
      <w:r>
        <w:rPr>
          <w:rFonts w:ascii="Calibri" w:cs="Calibri" w:eastAsia="Calibri" w:hAnsi="Calibri"/>
          <w:color w:val="333333"/>
          <w:sz w:val="22"/>
          <w:szCs w:val="22"/>
        </w:rPr>
        <w:t xml:space="preserve">The initial assessment shall be completed within [24] hours (preliminary) with a refined assessment within [7] days.</w:t>
      </w:r>
    </w:p>
    <w:p>
      <w:pPr>
        <w:pStyle w:val="Heading2"/>
        <w:spacing w:after="150" w:before="300"/>
      </w:pPr>
      <w:r>
        <w:rPr>
          <w:rFonts w:ascii="Georgia" w:cs="Georgia" w:eastAsia="Georgia" w:hAnsi="Georgia"/>
          <w:b/>
          <w:bCs/>
          <w:color w:val="333333"/>
          <w:sz w:val="26"/>
          <w:szCs w:val="26"/>
        </w:rPr>
        <w:t xml:space="preserve">5.3 Stakeholder Communication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Stakeholder</w:t>
            </w:r>
          </w:p>
        </w:tc>
        <w:tc>
          <w:tcPr>
            <w:tcW w:type="dxa" w:w="2400"/>
            <w:shd w:fill="0C0C0C" w:val="clear"/>
          </w:tcPr>
          <w:p>
            <w:pPr>
              <w:spacing w:after="60" w:before="60"/>
            </w:pPr>
            <w:r>
              <w:rPr>
                <w:rFonts w:ascii="Calibri" w:cs="Calibri" w:eastAsia="Calibri" w:hAnsi="Calibri"/>
                <w:b/>
                <w:bCs/>
                <w:color w:val="D4AF37"/>
                <w:sz w:val="20"/>
                <w:szCs w:val="20"/>
              </w:rPr>
              <w:t xml:space="preserve">Primary Communicator</w:t>
            </w:r>
          </w:p>
        </w:tc>
        <w:tc>
          <w:tcPr>
            <w:tcW w:type="dxa" w:w="4560"/>
            <w:shd w:fill="0C0C0C" w:val="clear"/>
          </w:tcPr>
          <w:p>
            <w:pPr>
              <w:spacing w:after="60" w:before="60"/>
            </w:pPr>
            <w:r>
              <w:rPr>
                <w:rFonts w:ascii="Calibri" w:cs="Calibri" w:eastAsia="Calibri" w:hAnsi="Calibri"/>
                <w:b/>
                <w:bCs/>
                <w:color w:val="D4AF37"/>
                <w:sz w:val="20"/>
                <w:szCs w:val="20"/>
              </w:rPr>
              <w:t xml:space="preserve">Channel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CEO + CFO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call + secure portal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Employees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CEO + CHRO</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All-hands + email + intranet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Investors / Analysts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 + IR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8-K + press release + webcast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Lenders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 Treasurer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Direct call + written notice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Customers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COO + Account Teams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Direct contact + email + website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Media</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VP Communications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Press release + press conference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Regulators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Legal + CFO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Formal notification per requirements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Vendors / Partners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COO + Procurement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Direct contact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Insurance Carriers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 + Risk Manager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Formal claim notice</w:t>
            </w:r>
          </w:p>
        </w:tc>
      </w:tr>
    </w:tbl>
    <w:p>
      <w:pPr>
        <w:pStyle w:val="Heading2"/>
        <w:spacing w:after="150" w:before="300"/>
      </w:pPr>
      <w:r>
        <w:rPr>
          <w:rFonts w:ascii="Georgia" w:cs="Georgia" w:eastAsia="Georgia" w:hAnsi="Georgia"/>
          <w:b/>
          <w:bCs/>
          <w:color w:val="333333"/>
          <w:sz w:val="26"/>
          <w:szCs w:val="26"/>
        </w:rPr>
        <w:t xml:space="preserve">5.4 Recovery and Remediation</w:t>
      </w:r>
    </w:p>
    <w:p>
      <w:pPr>
        <w:spacing w:after="150" w:before="0"/>
        <w:jc w:val="both"/>
      </w:pPr>
      <w:r>
        <w:rPr>
          <w:rFonts w:ascii="Calibri" w:cs="Calibri" w:eastAsia="Calibri" w:hAnsi="Calibri"/>
          <w:color w:val="333333"/>
          <w:sz w:val="22"/>
          <w:szCs w:val="22"/>
        </w:rPr>
        <w:t xml:space="preserve">The CMT shall develop a recovery plan within [7] days of crisis activation: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Operational recovery: timeline and milestones for restoring normal operations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recovery: revised forecast incorporating crisis impact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Reputation recovery: communications plan for rebuilding stakeholder confidence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Control remediation: fixing any control weaknesses exposed by the crisis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recovery: documenting losses for insurance claims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Regulatory remediation: addressing any compliance failures identified</w:t>
      </w:r>
    </w:p>
    <w:p>
      <w:pPr>
        <w:pStyle w:val="Heading2"/>
        <w:spacing w:after="150" w:before="300"/>
      </w:pPr>
      <w:r>
        <w:rPr>
          <w:rFonts w:ascii="Georgia" w:cs="Georgia" w:eastAsia="Georgia" w:hAnsi="Georgia"/>
          <w:b/>
          <w:bCs/>
          <w:color w:val="333333"/>
          <w:sz w:val="26"/>
          <w:szCs w:val="26"/>
        </w:rPr>
        <w:t xml:space="preserve">5.5 Post-Incident Review</w:t>
      </w:r>
    </w:p>
    <w:p>
      <w:pPr>
        <w:spacing w:after="150" w:before="0"/>
        <w:jc w:val="both"/>
      </w:pPr>
      <w:r>
        <w:rPr>
          <w:rFonts w:ascii="Calibri" w:cs="Calibri" w:eastAsia="Calibri" w:hAnsi="Calibri"/>
          <w:color w:val="333333"/>
          <w:sz w:val="22"/>
          <w:szCs w:val="22"/>
        </w:rPr>
        <w:t xml:space="preserve">Within [30] days of crisis resolution, the CMT shall conduct a post-incident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Timeline reconstruction: what happened, when, and how did we respond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Response effectiveness: what worked well, what did not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Communication assessment: was messaging timely, accurate, and effective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assessment: actual vs. estimated financial impact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Gap identification: what capabilities, plans, or resources were missing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Improvement plan: specific actions to improve crisis readiness</w:t>
      </w:r>
    </w:p>
    <w:p>
      <w:pPr>
        <w:spacing w:after="150" w:before="0"/>
        <w:jc w:val="both"/>
      </w:pPr>
      <w:r>
        <w:rPr>
          <w:rFonts w:ascii="Calibri" w:cs="Calibri" w:eastAsia="Calibri" w:hAnsi="Calibri"/>
          <w:color w:val="333333"/>
          <w:sz w:val="22"/>
          <w:szCs w:val="22"/>
        </w:rPr>
        <w:t xml:space="preserve">The post-incident review shall be presented to the Board and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Crisis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Crisis activation (Level 2)</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Elevated events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or 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Crisis activation (Level 3)</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Material events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External communication (holding statement)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Investor communication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IR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8-K filing decision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Material events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Lender notification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Covenant-affecting events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Insurance claim filing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Employee communication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 + CHRO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Engagement of external crisis advisors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During an active crisis, the CEO has authority to make decisions that would normally require broader approval, documented and ratified post-event. The CFO has emergency authority for financial decisions (per the Business Continuity Policy). No individual may make external communications about the crisis without CMT coordination and Legal review. Employees who receive media inquiries shall direct them to the VP Communications without comment.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crisis management tabletop exercise with the CMT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and update of the crisis management plan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update of the stakeholder communication templates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the crisis contact list for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crisis communication training for authorized spokespersons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Time from crisis detection to CMT activation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[2] hours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Time from activation to initial stakeholder communication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[8] hours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8-K filing within 4 business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Board notification within 4 hours (Level 3)</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Post-incident review completed within 30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tabletop exercise conducted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Yes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Crisis plan currency (last update)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12 months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Investor Relations &amp; Reg FD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Form 8-K (Current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FD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Crisis Response Quick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Step</w:t>
            </w:r>
          </w:p>
        </w:tc>
        <w:tc>
          <w:tcPr>
            <w:tcW w:type="dxa" w:w="6160"/>
            <w:shd w:fill="0C0C0C" w:val="clear"/>
          </w:tcPr>
          <w:p>
            <w:pPr>
              <w:spacing w:after="60" w:before="60"/>
            </w:pPr>
            <w:r>
              <w:rPr>
                <w:rFonts w:ascii="Calibri" w:cs="Calibri" w:eastAsia="Calibri" w:hAnsi="Calibri"/>
                <w:b/>
                <w:bCs/>
                <w:color w:val="D4AF37"/>
                <w:sz w:val="20"/>
                <w:szCs w:val="20"/>
              </w:rPr>
              <w:t xml:space="preserve">Action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 Detect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Identify the event; assess severity; notify CEO or CFO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 Activate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Classify level; assemble CMT; establish war room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3. Assess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Gather facts; evaluate financial impact; determine disclosure obligations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 Communicate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Internal first (employees); then external (investors, customers, media, regulators)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5. Manage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Execute response plan; monitor developments; update stakeholders regularly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6. Recover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Implement recovery plan; restore operations; rebuild confidence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7. Learn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Post-incident review; update plans; improve capabilities</w:t>
            </w:r>
          </w:p>
        </w:tc>
      </w:tr>
    </w:tbl>
    <w:p>
      <w:pPr>
        <w:pStyle w:val="Heading2"/>
        <w:spacing w:after="150" w:before="300"/>
      </w:pPr>
      <w:r>
        <w:rPr>
          <w:rFonts w:ascii="Georgia" w:cs="Georgia" w:eastAsia="Georgia" w:hAnsi="Georgia"/>
          <w:b/>
          <w:bCs/>
          <w:color w:val="333333"/>
          <w:sz w:val="26"/>
          <w:szCs w:val="26"/>
        </w:rPr>
        <w:t xml:space="preserve">Appendix B — Holding Statement Template</w:t>
      </w:r>
    </w:p>
    <w:p>
      <w:pPr>
        <w:spacing w:after="150" w:before="0"/>
        <w:jc w:val="both"/>
      </w:pPr>
      <w:r>
        <w:rPr>
          <w:rFonts w:ascii="Calibri" w:cs="Calibri" w:eastAsia="Calibri" w:hAnsi="Calibri"/>
          <w:color w:val="333333"/>
          <w:sz w:val="22"/>
          <w:szCs w:val="22"/>
        </w:rPr>
        <w:t xml:space="preserve">[Company Name] is aware of [brief description of the event]. We are actively investigating the situation and have taken immediate steps to [describe key actions]. The safety of our [employees/customers] is our first priority. We will provide additional information as it becomes available. For inquiries, please contact [communications@company.com].</w:t>
      </w:r>
    </w:p>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Holding statements should acknowledge the situation without speculation about cause, scope, or impact until facts are confirmed.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Crisis Management &amp; Financial Communications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2026-07-13T08:15:22.624Z</dcterms:created>
  <dcterms:modified xsi:type="dcterms:W3CDTF">2026-07-13T08:15:22.624Z</dcterms:modified>
</cp:coreProperties>
</file>

<file path=docProps/custom.xml><?xml version="1.0" encoding="utf-8"?>
<Properties xmlns="http://schemas.openxmlformats.org/officeDocument/2006/custom-properties" xmlns:vt="http://schemas.openxmlformats.org/officeDocument/2006/docPropsVTypes"/>
</file>