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ESG &amp; Sustainability Reporting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ESG and Sustainability Reporting Policy establishes the standards, procedures, and controls governing [Company Name]'s environmental, social, and governance (ESG) disclosures and sustainability reporting. The policy ensures accurate, consistent, and compliant ESG reporting across voluntary frameworks, regulatory requirements, and stakeholder expectations.</w:t>
      </w:r>
    </w:p>
    <w:p>
      <w:pPr>
        <w:spacing w:after="150" w:before="0"/>
        <w:jc w:val="both"/>
      </w:pPr>
      <w:r>
        <w:rPr>
          <w:rFonts w:ascii="Calibri" w:cs="Calibri" w:eastAsia="Calibri" w:hAnsi="Calibri"/>
          <w:color w:val="333333"/>
          <w:sz w:val="22"/>
          <w:szCs w:val="22"/>
        </w:rPr>
        <w:t xml:space="preserve">This policy applies to all ESG data collection, analysis, and reporting activities including: SEC climate and ESG disclosures, voluntary sustainability reports (GRI, SASB, TCFD), carbon emissions reporting (Scope 1, 2, and 3), diversity and human capital disclosures, supply chain sustainability assessments, and ESG rating agency questionnaire responses.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a governance framework for ESG data with the same rigor applied to financial data</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evolving SEC ESG disclosure requirements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Align voluntary ESG reporting with recognized frameworks (GRI, SASB, TCFD, ISSB)</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ESG data is accurate, complete, and auditable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Support investor and stakeholder decision-making with meaningful ESG information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Reduce greenwashing risk through documented methodologies and controls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ESG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Environmental, Social, and Governance — the three pillars of sustainability assessment.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GRI</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Global Reporting Initiative — the most widely used voluntary sustainability reporting framework.</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SASB</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Sustainability Accounting Standards Board — industry-specific disclosure standards now part of the ISSB.</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TCFD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Task Force on Climate-related Financial Disclosures — framework for climate risk reporting.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ISSB</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International Sustainability Standards Board — the global baseline for sustainability-related financial disclosures (IFRS S1 and S2).</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Scope 1 Emissions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Direct GHG emissions from owned or controlled sources (company vehicles, facilities, manufacturing).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Scope 2 Emissions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Indirect GHG emissions from purchased electricity, steam, heating, and cooling.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Scope 3 Emissions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All other indirect GHG emissions in the value chain (supply chain, business travel, employee commuting, product use).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Materiality Assessment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process of identifying ESG topics most relevant to [Company Name]'s business and stakeholders.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Greenwashing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Making misleading claims about the environmental or social benefits of a company's practices or products.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ESG Governance</w:t>
      </w:r>
    </w:p>
    <w:p>
      <w:pPr>
        <w:spacing w:after="150" w:before="0"/>
        <w:jc w:val="both"/>
      </w:pPr>
      <w:r>
        <w:rPr>
          <w:rFonts w:ascii="Calibri" w:cs="Calibri" w:eastAsia="Calibri" w:hAnsi="Calibri"/>
          <w:color w:val="333333"/>
          <w:sz w:val="22"/>
          <w:szCs w:val="22"/>
        </w:rPr>
        <w:t xml:space="preserve">[Company Name] shall establish ESG governance with clear accountability: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The Board (or a designated committee) provides oversight of ESG strategy and risks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The CFO owns ESG data quality and reporting controls (applying financial reporting rigor to ESG data)</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 designated ESG Program Manager coordinates data collection and reporting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Each ESG data domain has a designated owner responsible for data accuracy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Internal Audit includes ESG controls in its audit plan</w:t>
      </w:r>
    </w:p>
    <w:p>
      <w:pPr>
        <w:pStyle w:val="Heading2"/>
        <w:spacing w:after="150" w:before="300"/>
      </w:pPr>
      <w:r>
        <w:rPr>
          <w:rFonts w:ascii="Georgia" w:cs="Georgia" w:eastAsia="Georgia" w:hAnsi="Georgia"/>
          <w:b/>
          <w:bCs/>
          <w:color w:val="333333"/>
          <w:sz w:val="26"/>
          <w:szCs w:val="26"/>
        </w:rPr>
        <w:t xml:space="preserve">3.2 Reporting Frameworks</w:t>
      </w:r>
    </w:p>
    <w:p>
      <w:pPr>
        <w:spacing w:after="150" w:before="0"/>
        <w:jc w:val="both"/>
      </w:pPr>
      <w:r>
        <w:rPr>
          <w:rFonts w:ascii="Calibri" w:cs="Calibri" w:eastAsia="Calibri" w:hAnsi="Calibri"/>
          <w:color w:val="333333"/>
          <w:sz w:val="22"/>
          <w:szCs w:val="22"/>
        </w:rPr>
        <w:t xml:space="preserve">[Company Name] shall report ESG information using the following frameworks: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Framework</w:t>
            </w:r>
          </w:p>
        </w:tc>
        <w:tc>
          <w:tcPr>
            <w:tcW w:type="dxa" w:w="6160"/>
            <w:shd w:fill="0C0C0C" w:val="clear"/>
          </w:tcPr>
          <w:p>
            <w:pPr>
              <w:spacing w:after="60" w:before="60"/>
            </w:pPr>
            <w:r>
              <w:rPr>
                <w:rFonts w:ascii="Calibri" w:cs="Calibri" w:eastAsia="Calibri" w:hAnsi="Calibri"/>
                <w:b/>
                <w:bCs/>
                <w:color w:val="D4AF37"/>
                <w:sz w:val="20"/>
                <w:szCs w:val="20"/>
              </w:rPr>
              <w:t xml:space="preserve">Application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SEC ESG Disclosures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Mandatory; per current and emerging SEC rules on climate, human capital, and cybersecurity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ISSB / SASB Standards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Industry-specific ESG metrics aligned to [Company Name]'s industry classification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TCFD Recommendations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Climate risk reporting: governance, strategy, risk management, metrics and targets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GRI Standards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Comprehensive sustainability report (if published)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CDP</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Climate and environmental questionnaire (if applicable to industry)</w:t>
            </w:r>
          </w:p>
        </w:tc>
      </w:tr>
    </w:tbl>
    <w:p>
      <w:pPr>
        <w:pStyle w:val="Heading2"/>
        <w:spacing w:after="150" w:before="300"/>
      </w:pPr>
      <w:r>
        <w:rPr>
          <w:rFonts w:ascii="Georgia" w:cs="Georgia" w:eastAsia="Georgia" w:hAnsi="Georgia"/>
          <w:b/>
          <w:bCs/>
          <w:color w:val="333333"/>
          <w:sz w:val="26"/>
          <w:szCs w:val="26"/>
        </w:rPr>
        <w:t xml:space="preserve">3.3 Data Quality Standards</w:t>
      </w:r>
    </w:p>
    <w:p>
      <w:pPr>
        <w:spacing w:after="150" w:before="0"/>
        <w:jc w:val="both"/>
      </w:pPr>
      <w:r>
        <w:rPr>
          <w:rFonts w:ascii="Calibri" w:cs="Calibri" w:eastAsia="Calibri" w:hAnsi="Calibri"/>
          <w:color w:val="333333"/>
          <w:sz w:val="22"/>
          <w:szCs w:val="22"/>
        </w:rPr>
        <w:t xml:space="preserve">ESG data shall meet the same quality standards as financial data: accuracy (data correctly represents actual performance), completeness (all in-scope entities and activities are included), consistency (same methodology applied across periods and entities), timeliness (data available for reporting deadlines), comparability (year-over-year comparisons are meaningful), and verifiability (data can be independently verified through documentation and audit trail).</w:t>
      </w:r>
    </w:p>
    <w:p>
      <w:pPr>
        <w:pStyle w:val="Heading2"/>
        <w:spacing w:after="150" w:before="300"/>
      </w:pPr>
      <w:r>
        <w:rPr>
          <w:rFonts w:ascii="Georgia" w:cs="Georgia" w:eastAsia="Georgia" w:hAnsi="Georgia"/>
          <w:b/>
          <w:bCs/>
          <w:color w:val="333333"/>
          <w:sz w:val="26"/>
          <w:szCs w:val="26"/>
        </w:rPr>
        <w:t xml:space="preserve">3.4 Emissions Accounting</w:t>
      </w:r>
    </w:p>
    <w:p>
      <w:pPr>
        <w:spacing w:after="150" w:before="0"/>
        <w:jc w:val="both"/>
      </w:pPr>
      <w:r>
        <w:rPr>
          <w:rFonts w:ascii="Calibri" w:cs="Calibri" w:eastAsia="Calibri" w:hAnsi="Calibri"/>
          <w:color w:val="333333"/>
          <w:sz w:val="22"/>
          <w:szCs w:val="22"/>
        </w:rPr>
        <w:t xml:space="preserve">[Company Name] shall calculate greenhouse gas emissions using the GHG Protocol Corporate Standard: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Scope 1: direct measurement or engineering calculations from company-controlled sources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Scope 2: location-based and market-based methods using utility data and emission factors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Scope 3: category-specific methodologies per the GHG Protocol Scope 3 Standard (prioritized by materiality)</w:t>
      </w:r>
    </w:p>
    <w:p>
      <w:pPr>
        <w:spacing w:after="150" w:before="0"/>
        <w:jc w:val="both"/>
      </w:pPr>
      <w:r>
        <w:rPr>
          <w:rFonts w:ascii="Calibri" w:cs="Calibri" w:eastAsia="Calibri" w:hAnsi="Calibri"/>
          <w:color w:val="333333"/>
          <w:sz w:val="22"/>
          <w:szCs w:val="22"/>
        </w:rPr>
        <w:t xml:space="preserve">Emission factors shall be from recognized sources (EPA, IEA, DEFRA) and documented. The methodology shall be consistent year-over-year; changes require disclosure and restatement of baseline.</w:t>
      </w:r>
    </w:p>
    <w:p>
      <w:pPr>
        <w:pStyle w:val="Heading2"/>
        <w:spacing w:after="150" w:before="300"/>
      </w:pPr>
      <w:r>
        <w:rPr>
          <w:rFonts w:ascii="Georgia" w:cs="Georgia" w:eastAsia="Georgia" w:hAnsi="Georgia"/>
          <w:b/>
          <w:bCs/>
          <w:color w:val="333333"/>
          <w:sz w:val="26"/>
          <w:szCs w:val="26"/>
        </w:rPr>
        <w:t xml:space="preserve">3.5 Third-Party Assurance</w:t>
      </w:r>
    </w:p>
    <w:p>
      <w:pPr>
        <w:spacing w:after="150" w:before="0"/>
        <w:jc w:val="both"/>
      </w:pPr>
      <w:r>
        <w:rPr>
          <w:rFonts w:ascii="Calibri" w:cs="Calibri" w:eastAsia="Calibri" w:hAnsi="Calibri"/>
          <w:color w:val="333333"/>
          <w:sz w:val="22"/>
          <w:szCs w:val="22"/>
        </w:rPr>
        <w:t xml:space="preserve">[Company Name] shall obtain independent third-party assurance over key ESG metrics as required by regulation or as determined by the Board. The assurance scope, level (limited or reasonable), and provider shall be approved by the Audit Committee. The assurance report shall be published with the sustainability report or SEC filing.</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Board / ESG Committee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Oversees ESG strategy and risk. Reviews ESG disclosures. Sets sustainability targets.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CEO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Owns ESG strategy. Communicates ESG commitments to stakeholders.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ESG data quality and reporting controls. Reviews ESG disclosures for accuracy.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ESG Program Manager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Coordinates ESG data collection and reporting. Manages framework alignment. Prepares sustainability reports.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Applies financial control rigor to ESG data. Reviews ESG metrics in SEC filings.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Facilities / Operations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Provides environmental data: energy consumption, water usage, waste generation, emissions.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HR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Provides social data: diversity metrics, turnover, training hours, safety incidents, pay equity.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Supply Chain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Provides Scope 3 data: supplier emissions, transportation, materials sourcing.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Legal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Advises on ESG disclosure obligations and greenwashing risk. Reviews ESG claims in marketing materials.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Tests ESG data controls. Evaluates ESG reporting accuracy. Supports third-party assurance.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External Assurance Provider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Provides independent assurance over ESG metrics per the agreed scope and standards.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ESG Materiality Assessment</w:t>
      </w:r>
    </w:p>
    <w:p>
      <w:pPr>
        <w:spacing w:after="150" w:before="0"/>
        <w:jc w:val="both"/>
      </w:pPr>
      <w:r>
        <w:rPr>
          <w:rFonts w:ascii="Calibri" w:cs="Calibri" w:eastAsia="Calibri" w:hAnsi="Calibri"/>
          <w:color w:val="333333"/>
          <w:sz w:val="22"/>
          <w:szCs w:val="22"/>
        </w:rPr>
        <w:t xml:space="preserve">[Company Name] shall conduct an ESG materiality assessment at least every [2] years to identify the ESG topics most relevant to the business and stakeholders. The assessment shall: engage internal and external stakeholders (investors, employees, customers, communities), evaluate industry-specific ESG risks and opportunities per SASB standards, align with the double materiality concept (financial impact AND impact on people and environment), prioritize topics for reporting and target-setting, and be approved by the Board or ESG Committee.</w:t>
      </w:r>
    </w:p>
    <w:p>
      <w:pPr>
        <w:pStyle w:val="Heading2"/>
        <w:spacing w:after="150" w:before="300"/>
      </w:pPr>
      <w:r>
        <w:rPr>
          <w:rFonts w:ascii="Georgia" w:cs="Georgia" w:eastAsia="Georgia" w:hAnsi="Georgia"/>
          <w:b/>
          <w:bCs/>
          <w:color w:val="333333"/>
          <w:sz w:val="26"/>
          <w:szCs w:val="26"/>
        </w:rPr>
        <w:t xml:space="preserve">5.2 Data Collection Process</w:t>
      </w:r>
    </w:p>
    <w:p>
      <w:pPr>
        <w:pStyle w:val="Heading3"/>
        <w:spacing w:after="100" w:before="200"/>
      </w:pPr>
      <w:r>
        <w:rPr>
          <w:rFonts w:ascii="Georgia" w:cs="Georgia" w:eastAsia="Georgia" w:hAnsi="Georgia"/>
          <w:b/>
          <w:bCs/>
          <w:color w:val="444444"/>
          <w:sz w:val="22"/>
          <w:szCs w:val="22"/>
        </w:rPr>
        <w:t xml:space="preserve">5.2.1 Environmental Data</w:t>
      </w:r>
    </w:p>
    <w:p>
      <w:pPr>
        <w:spacing w:after="150" w:before="0"/>
        <w:jc w:val="both"/>
      </w:pPr>
      <w:r>
        <w:rPr>
          <w:rFonts w:ascii="Calibri" w:cs="Calibri" w:eastAsia="Calibri" w:hAnsi="Calibri"/>
          <w:color w:val="333333"/>
          <w:sz w:val="22"/>
          <w:szCs w:val="22"/>
        </w:rPr>
        <w:t xml:space="preserve">Environmental data shall be collected quarterly from: utility bills (electricity, natural gas, water), fuel records (company vehicles, generators, heating), waste hauler reports (landfill, recycling, hazardous waste), refrigerant logs (HVAC systems), and travel booking systems (business travel emissions). Data shall be entered into [ESG data management system] with source documentation retained.</w:t>
      </w:r>
    </w:p>
    <w:p>
      <w:pPr>
        <w:pStyle w:val="Heading3"/>
        <w:spacing w:after="100" w:before="200"/>
      </w:pPr>
      <w:r>
        <w:rPr>
          <w:rFonts w:ascii="Georgia" w:cs="Georgia" w:eastAsia="Georgia" w:hAnsi="Georgia"/>
          <w:b/>
          <w:bCs/>
          <w:color w:val="444444"/>
          <w:sz w:val="22"/>
          <w:szCs w:val="22"/>
        </w:rPr>
        <w:t xml:space="preserve">5.2.2 Social Data</w:t>
      </w:r>
    </w:p>
    <w:p>
      <w:pPr>
        <w:spacing w:after="150" w:before="0"/>
        <w:jc w:val="both"/>
      </w:pPr>
      <w:r>
        <w:rPr>
          <w:rFonts w:ascii="Calibri" w:cs="Calibri" w:eastAsia="Calibri" w:hAnsi="Calibri"/>
          <w:color w:val="333333"/>
          <w:sz w:val="22"/>
          <w:szCs w:val="22"/>
        </w:rPr>
        <w:t xml:space="preserve">Social data shall be collected from: HRIS (headcount, diversity demographics, turnover, hiring), safety management system (incident rates, lost time, near misses), training records (hours per employee, compliance training completion), payroll (gender and racial pay equity analysis), and community engagement records (volunteer hours, charitable giving).</w:t>
      </w:r>
    </w:p>
    <w:p>
      <w:pPr>
        <w:pStyle w:val="Heading3"/>
        <w:spacing w:after="100" w:before="200"/>
      </w:pPr>
      <w:r>
        <w:rPr>
          <w:rFonts w:ascii="Georgia" w:cs="Georgia" w:eastAsia="Georgia" w:hAnsi="Georgia"/>
          <w:b/>
          <w:bCs/>
          <w:color w:val="444444"/>
          <w:sz w:val="22"/>
          <w:szCs w:val="22"/>
        </w:rPr>
        <w:t xml:space="preserve">5.2.3 Governance Data</w:t>
      </w:r>
    </w:p>
    <w:p>
      <w:pPr>
        <w:spacing w:after="150" w:before="0"/>
        <w:jc w:val="both"/>
      </w:pPr>
      <w:r>
        <w:rPr>
          <w:rFonts w:ascii="Calibri" w:cs="Calibri" w:eastAsia="Calibri" w:hAnsi="Calibri"/>
          <w:color w:val="333333"/>
          <w:sz w:val="22"/>
          <w:szCs w:val="22"/>
        </w:rPr>
        <w:t xml:space="preserve">Governance data shall be collected from: Board records (composition, independence, meeting attendance), compliance records (code of conduct violations, ethics hotline reports), cybersecurity metrics (incident count, response time, training completion), political contribution records (if any), and tax transparency data (country-by-country reporting).</w:t>
      </w:r>
    </w:p>
    <w:p>
      <w:pPr>
        <w:pStyle w:val="Heading2"/>
        <w:spacing w:after="150" w:before="300"/>
      </w:pPr>
      <w:r>
        <w:rPr>
          <w:rFonts w:ascii="Georgia" w:cs="Georgia" w:eastAsia="Georgia" w:hAnsi="Georgia"/>
          <w:b/>
          <w:bCs/>
          <w:color w:val="333333"/>
          <w:sz w:val="26"/>
          <w:szCs w:val="26"/>
        </w:rPr>
        <w:t xml:space="preserve">5.3 Reporting Calendar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Deliverable</w:t>
            </w:r>
          </w:p>
        </w:tc>
        <w:tc>
          <w:tcPr>
            <w:tcW w:type="dxa" w:w="6160"/>
            <w:shd w:fill="0C0C0C" w:val="clear"/>
          </w:tcPr>
          <w:p>
            <w:pPr>
              <w:spacing w:after="60" w:before="60"/>
            </w:pPr>
            <w:r>
              <w:rPr>
                <w:rFonts w:ascii="Calibri" w:cs="Calibri" w:eastAsia="Calibri" w:hAnsi="Calibri"/>
                <w:b/>
                <w:bCs/>
                <w:color w:val="D4AF37"/>
                <w:sz w:val="20"/>
                <w:szCs w:val="20"/>
              </w:rPr>
              <w:t xml:space="preserve">Timeline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SEC climate / ESG disclosures (10-K)</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Per SEC filing deadline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Annual sustainability report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[Q2] of the following year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CDP questionnaire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[Q3] annually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ESG rating agency questionnaires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Per agency-specific deadlines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Quarterly ESG data collection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[30] days of quarter-end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Third-party assurance engagement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Completed before sustainability report publication</w:t>
            </w:r>
          </w:p>
        </w:tc>
      </w:tr>
    </w:tbl>
    <w:p>
      <w:pPr>
        <w:pStyle w:val="Heading2"/>
        <w:spacing w:after="150" w:before="300"/>
      </w:pPr>
      <w:r>
        <w:rPr>
          <w:rFonts w:ascii="Georgia" w:cs="Georgia" w:eastAsia="Georgia" w:hAnsi="Georgia"/>
          <w:b/>
          <w:bCs/>
          <w:color w:val="333333"/>
          <w:sz w:val="26"/>
          <w:szCs w:val="26"/>
        </w:rPr>
        <w:t xml:space="preserve">5.4 Target Setting and Progress Tracking</w:t>
      </w:r>
    </w:p>
    <w:p>
      <w:pPr>
        <w:spacing w:after="150" w:before="0"/>
        <w:jc w:val="both"/>
      </w:pPr>
      <w:r>
        <w:rPr>
          <w:rFonts w:ascii="Calibri" w:cs="Calibri" w:eastAsia="Calibri" w:hAnsi="Calibri"/>
          <w:color w:val="333333"/>
          <w:sz w:val="22"/>
          <w:szCs w:val="22"/>
        </w:rPr>
        <w:t xml:space="preserve">[Company Name] shall set measurable ESG targets that are: specific (clear metric and scope), measurable (quantifiable with current data capabilities), achievable (realistic given business conditions), relevant (aligned with material ESG topics), and time-bound (with interim milestones). Progress against targets shall be reported quarterly to the ESG Committee and annually in the sustainability report. Targets shall not be set without a credible plan for achievement (to avoid greenwashing risk).</w:t>
      </w:r>
    </w:p>
    <w:p>
      <w:pPr>
        <w:pStyle w:val="Heading2"/>
        <w:spacing w:after="150" w:before="300"/>
      </w:pPr>
      <w:r>
        <w:rPr>
          <w:rFonts w:ascii="Georgia" w:cs="Georgia" w:eastAsia="Georgia" w:hAnsi="Georgia"/>
          <w:b/>
          <w:bCs/>
          <w:color w:val="333333"/>
          <w:sz w:val="26"/>
          <w:szCs w:val="26"/>
        </w:rPr>
        <w:t xml:space="preserve">5.5 ESG Risk Integration</w:t>
      </w:r>
    </w:p>
    <w:p>
      <w:pPr>
        <w:spacing w:after="150" w:before="0"/>
        <w:jc w:val="both"/>
      </w:pPr>
      <w:r>
        <w:rPr>
          <w:rFonts w:ascii="Calibri" w:cs="Calibri" w:eastAsia="Calibri" w:hAnsi="Calibri"/>
          <w:color w:val="333333"/>
          <w:sz w:val="22"/>
          <w:szCs w:val="22"/>
        </w:rPr>
        <w:t xml:space="preserve">ESG risks shall be integrated into [Company Name]'s enterprise risk management framework:</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Climate risks (physical and transition) assessed per TCFD recommendations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Human capital risks (talent retention, labor relations, safety) assessed and monitored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Governance risks (board effectiveness, ethics, compliance) assessed annually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Supply chain ESG risks (supplier labor practices, environmental compliance) assessed per the Vendor Management Policy</w:t>
      </w:r>
    </w:p>
    <w:p>
      <w:pPr>
        <w:spacing w:after="150" w:before="0"/>
        <w:jc w:val="both"/>
      </w:pPr>
      <w:r>
        <w:rPr>
          <w:rFonts w:ascii="Calibri" w:cs="Calibri" w:eastAsia="Calibri" w:hAnsi="Calibri"/>
          <w:color w:val="333333"/>
          <w:sz w:val="22"/>
          <w:szCs w:val="22"/>
        </w:rPr>
        <w:t xml:space="preserve">ESG risks meeting materiality thresholds shall be included in the enterprise risk register and reported to the Board.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ESG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ESG materiality assessment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Conducted every 2 years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Board / ESG Committee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Sustainability report publication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CEO + Board review</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ESG targets and commitments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 public targets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Board / ESG Committee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SEC ESG disclosures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Disclosure Committee</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ESG assurance scope and provider</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Audit Committee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ESG data methodology change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ESG Program Manager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ESG claims in marketing materials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Legal + ESG Program Manager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Carbon offset purchases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ESG data gaps (inability to collect data for a required metric) shall be disclosed transparently with an explanation and remediation plan. ESG targets that will not be met shall be disclosed proactively with an explanation, rather than quietly dropped. Any potential greenwashing concern (ESG claim that may be misleading) shall be escalated to Legal and the CFO immediately.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ESG data quality review by the ESG Program Manager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internal audit of ESG data collection and reporting controls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third-party assurance over key ESG metrics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ESG materiality assessment review (full refresh every 2 years)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Ongoing monitoring of regulatory developments (SEC, ISSB, EU CSRD)</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ESG data collection completeness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 of in-scope entities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ESG report publication timeliness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On schedule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Third-party assurance: unqualified opinion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Yes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ESG target progress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On track for all published targets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ESG rating agency scores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Improving trend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Greenwashing incidents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Zero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Disclosure Controls &amp; Procedures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Board &amp; Audit Committee Reporting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Vendor Management Policy (supply chain ESG)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Insurance &amp; Risk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GRI Standards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SASB/ISSB Standards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TCFD Recommendations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GHG Protocol Corporate Standard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SEC Climate Disclosure Rules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ESG Metrics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Category</w:t>
            </w:r>
          </w:p>
        </w:tc>
        <w:tc>
          <w:tcPr>
            <w:tcW w:type="dxa" w:w="2400"/>
            <w:shd w:fill="0C0C0C" w:val="clear"/>
          </w:tcPr>
          <w:p>
            <w:pPr>
              <w:spacing w:after="60" w:before="60"/>
            </w:pPr>
            <w:r>
              <w:rPr>
                <w:rFonts w:ascii="Calibri" w:cs="Calibri" w:eastAsia="Calibri" w:hAnsi="Calibri"/>
                <w:b/>
                <w:bCs/>
                <w:color w:val="D4AF37"/>
                <w:sz w:val="20"/>
                <w:szCs w:val="20"/>
              </w:rPr>
              <w:t xml:space="preserve">Metric</w:t>
            </w:r>
          </w:p>
        </w:tc>
        <w:tc>
          <w:tcPr>
            <w:tcW w:type="dxa" w:w="4560"/>
            <w:shd w:fill="0C0C0C" w:val="clear"/>
          </w:tcPr>
          <w:p>
            <w:pPr>
              <w:spacing w:after="60" w:before="60"/>
            </w:pPr>
            <w:r>
              <w:rPr>
                <w:rFonts w:ascii="Calibri" w:cs="Calibri" w:eastAsia="Calibri" w:hAnsi="Calibri"/>
                <w:b/>
                <w:bCs/>
                <w:color w:val="D4AF37"/>
                <w:sz w:val="20"/>
                <w:szCs w:val="20"/>
              </w:rPr>
              <w:t xml:space="preserve">Source</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Environmental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Scope 1 GHG emissions (tCO2e)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Fuel records, process data</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Environmental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Scope 2 GHG emissions (tCO2e)</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Utility bills, emission factors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Environmental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Energy consumption (MWh)</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Utility bills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Environmental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Water withdrawal (m3)</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Utility bills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Environmental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Waste diverted from landfill (%)</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Waste hauler reports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Social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Gender diversity (% women in workforce/management/board)</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HRIS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Social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Racial/ethnic diversity (% underrepresented groups)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HRIS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Social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Total recordable incident rate (TRIR)</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Safety system</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Social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Employee turnover rate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HRIS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Governance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Board independence (%)</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Board records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Governance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Ethics hotline reports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Compliance system</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ESG &amp; Sustainability Reporting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2026-07-13T08:15:22.311Z</dcterms:created>
  <dcterms:modified xsi:type="dcterms:W3CDTF">2026-07-13T08:15:22.311Z</dcterms:modified>
</cp:coreProperties>
</file>

<file path=docProps/custom.xml><?xml version="1.0" encoding="utf-8"?>
<Properties xmlns="http://schemas.openxmlformats.org/officeDocument/2006/custom-properties" xmlns:vt="http://schemas.openxmlformats.org/officeDocument/2006/docPropsVTypes"/>
</file>