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Investor Relations &amp; Reg FD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Investor Relations and Regulation FD Policy establishes the standards, procedures, and controls governing [Company Name]'s communications with investors, analysts, rating agencies, and the financial media. The policy ensures compliance with SEC Regulation FD (Fair Disclosure), prevents selective disclosure of material non-public information, and maintains a consistent, transparent approach to investor communications.</w:t>
      </w:r>
    </w:p>
    <w:p>
      <w:pPr>
        <w:spacing w:after="150" w:before="0"/>
        <w:jc w:val="both"/>
      </w:pPr>
      <w:r>
        <w:rPr>
          <w:rFonts w:ascii="Calibri" w:cs="Calibri" w:eastAsia="Calibri" w:hAnsi="Calibri"/>
          <w:color w:val="333333"/>
          <w:sz w:val="22"/>
          <w:szCs w:val="22"/>
        </w:rPr>
        <w:t xml:space="preserve">This policy applies to all communications with current and prospective investors, sell-side and buy-side analysts, financial media, rating agencies, and any other external party seeking information about [Company Name]'s financial performance, strategy, or prospects.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fair and equal access to material company information for all investors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Regulation FD in all investor communications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Build and maintain credibility with the investment community through transparent, consistent communication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clear spokesperson authorization to prevent unauthorized disclosure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investors with decision-relevant information within legal and regulatory constraints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Monitor market perception and respond to misinformation promptly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Regulation FD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SEC regulation requiring that when a company discloses material non-public information to certain persons (analysts, investors), it must simultaneously disclose the information publicly.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Authorized Spokesperson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individual specifically designated to communicate with investors and analysts on behalf of [Company Name].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Quiet Period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self-imposed period (typically the last [2-3] weeks of each quarter) during which [Company Name] limits investor communications to avoid inadvertent disclosure of quarterly results.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Non-Deal Roadshow</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Investor meetings conducted outside of a securities offering for relationship building and information sharing.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Consensus Estimate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average of published analyst estimates for a financial metric (revenue, EPS), which [Company Name] monitors but does not actively manage.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Guidance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Forward-looking financial expectations provided by management (annual revenue range, EPS target, etc.).</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Investor Day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scheduled event providing in-depth presentations to the investment community on strategy, operations, and financial outlook.</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Perception Study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survey of investors and analysts assessing their understanding of and sentiment toward [Company Name].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Targeting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proactive identification and engagement of potential investors whose investment criteria align with [Company Name]'s profile.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Buy-Side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Institutional investors (mutual funds, pension funds, hedge funds) who purchase securities for their portfolios.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Authorized Spokespersons</w:t>
      </w:r>
    </w:p>
    <w:p>
      <w:pPr>
        <w:spacing w:after="150" w:before="0"/>
        <w:jc w:val="both"/>
      </w:pPr>
      <w:r>
        <w:rPr>
          <w:rFonts w:ascii="Calibri" w:cs="Calibri" w:eastAsia="Calibri" w:hAnsi="Calibri"/>
          <w:color w:val="333333"/>
          <w:sz w:val="22"/>
          <w:szCs w:val="22"/>
        </w:rPr>
        <w:t xml:space="preserve">Only the following individuals are authorized to communicate with investors and analysts about [Company Name]'s financial performance, strategy, or prospects: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Chief Executive Officer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Chief Financial Officer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Vice President, Investor Relations</w:t>
      </w:r>
    </w:p>
    <w:p>
      <w:pPr>
        <w:spacing w:after="150" w:before="0"/>
        <w:jc w:val="both"/>
      </w:pPr>
      <w:r>
        <w:rPr>
          <w:rFonts w:ascii="Calibri" w:cs="Calibri" w:eastAsia="Calibri" w:hAnsi="Calibri"/>
          <w:color w:val="333333"/>
          <w:sz w:val="22"/>
          <w:szCs w:val="22"/>
        </w:rPr>
        <w:t xml:space="preserve">No other employee may respond to investor or analyst inquiries without explicit, documented authorization from the CFO. Requests from analysts or investors received by unauthorized individuals shall be redirected to the IR team immediately.</w:t>
      </w:r>
    </w:p>
    <w:p>
      <w:pPr>
        <w:pStyle w:val="Heading2"/>
        <w:spacing w:after="150" w:before="300"/>
      </w:pPr>
      <w:r>
        <w:rPr>
          <w:rFonts w:ascii="Georgia" w:cs="Georgia" w:eastAsia="Georgia" w:hAnsi="Georgia"/>
          <w:b/>
          <w:bCs/>
          <w:color w:val="333333"/>
          <w:sz w:val="26"/>
          <w:szCs w:val="26"/>
        </w:rPr>
        <w:t xml:space="preserve">3.2 Regulation FD Compliance</w:t>
      </w:r>
    </w:p>
    <w:p>
      <w:pPr>
        <w:spacing w:after="150" w:before="0"/>
        <w:jc w:val="both"/>
      </w:pPr>
      <w:r>
        <w:rPr>
          <w:rFonts w:ascii="Calibri" w:cs="Calibri" w:eastAsia="Calibri" w:hAnsi="Calibri"/>
          <w:color w:val="333333"/>
          <w:sz w:val="22"/>
          <w:szCs w:val="22"/>
        </w:rPr>
        <w:t xml:space="preserve">[Company Name] shall not selectively disclose MNPI. All material disclosures shall be made through broad public channels before or simultaneously with any communication to analysts or investors. Compliance procedures include: all investor meeting talking points reviewed by Legal for MNPI content before use, new information shared during investor meetings must be simultaneously disclosed publicly (via 8-K, press release, or webcast), earnings calls shall be publicly webcast with replay available, and one-on-one investor meetings shall not include information not available to the general public.</w:t>
      </w:r>
    </w:p>
    <w:p>
      <w:pPr>
        <w:pStyle w:val="Heading2"/>
        <w:spacing w:after="150" w:before="300"/>
      </w:pPr>
      <w:r>
        <w:rPr>
          <w:rFonts w:ascii="Georgia" w:cs="Georgia" w:eastAsia="Georgia" w:hAnsi="Georgia"/>
          <w:b/>
          <w:bCs/>
          <w:color w:val="333333"/>
          <w:sz w:val="26"/>
          <w:szCs w:val="26"/>
        </w:rPr>
        <w:t xml:space="preserve">3.3 Quiet Period</w:t>
      </w:r>
    </w:p>
    <w:p>
      <w:pPr>
        <w:spacing w:after="150" w:before="0"/>
        <w:jc w:val="both"/>
      </w:pPr>
      <w:r>
        <w:rPr>
          <w:rFonts w:ascii="Calibri" w:cs="Calibri" w:eastAsia="Calibri" w:hAnsi="Calibri"/>
          <w:color w:val="333333"/>
          <w:sz w:val="22"/>
          <w:szCs w:val="22"/>
        </w:rPr>
        <w:t xml:space="preserve">[Company Name] shall observe a quiet period beginning [14] calendar days before the end of each fiscal quarter and ending after the public release of earnings. During the quiet period: no investor meetings or conferences, no analyst calls or one-on-one meetings, no commentary on current-quarter expectations, and participation in previously scheduled conferences is limited to non-financial content (with Legal pre-approval). The quiet period may be extended by the CFO if material events are pending.</w:t>
      </w:r>
    </w:p>
    <w:p>
      <w:pPr>
        <w:pStyle w:val="Heading2"/>
        <w:spacing w:after="150" w:before="300"/>
      </w:pPr>
      <w:r>
        <w:rPr>
          <w:rFonts w:ascii="Georgia" w:cs="Georgia" w:eastAsia="Georgia" w:hAnsi="Georgia"/>
          <w:b/>
          <w:bCs/>
          <w:color w:val="333333"/>
          <w:sz w:val="26"/>
          <w:szCs w:val="26"/>
        </w:rPr>
        <w:t xml:space="preserve">3.4 Guidance Philosophy</w:t>
      </w:r>
    </w:p>
    <w:p>
      <w:pPr>
        <w:spacing w:after="150" w:before="0"/>
        <w:jc w:val="both"/>
      </w:pPr>
      <w:r>
        <w:rPr>
          <w:rFonts w:ascii="Calibri" w:cs="Calibri" w:eastAsia="Calibri" w:hAnsi="Calibri"/>
          <w:color w:val="333333"/>
          <w:sz w:val="22"/>
          <w:szCs w:val="22"/>
        </w:rPr>
        <w:t xml:space="preserve">[Company Name]'s guidance philosophy is: [select one — example below]. [Company Name] provides annual guidance for revenue and adjusted EBITDA in the form of a range. Guidance is updated quarterly only when actual results or outlook differ materially from the provided range. [Company Name] does not provide quarterly guidance to avoid a short-term focus. The guidance philosophy shall be approved by the Board and communicated to investors consistently.</w:t>
      </w:r>
    </w:p>
    <w:p>
      <w:pPr>
        <w:pStyle w:val="Heading2"/>
        <w:spacing w:after="150" w:before="300"/>
      </w:pPr>
      <w:r>
        <w:rPr>
          <w:rFonts w:ascii="Georgia" w:cs="Georgia" w:eastAsia="Georgia" w:hAnsi="Georgia"/>
          <w:b/>
          <w:bCs/>
          <w:color w:val="333333"/>
          <w:sz w:val="26"/>
          <w:szCs w:val="26"/>
        </w:rPr>
        <w:t xml:space="preserve">3.5 Earnings Communication</w:t>
      </w:r>
    </w:p>
    <w:p>
      <w:pPr>
        <w:spacing w:after="150" w:before="0"/>
        <w:jc w:val="both"/>
      </w:pPr>
      <w:r>
        <w:rPr>
          <w:rFonts w:ascii="Calibri" w:cs="Calibri" w:eastAsia="Calibri" w:hAnsi="Calibri"/>
          <w:color w:val="333333"/>
          <w:sz w:val="22"/>
          <w:szCs w:val="22"/>
        </w:rPr>
        <w:t xml:space="preserve">Quarterly and annual earnings shall be communicated through: an earnings press release (filed as an 8-K exhibit), a live earnings conference call with analyst Q&amp;A (publicly webcast), a supplemental data package posted to the IR website, and updated investor presentation (if applicable). The earnings press release, call script, and supplemental materials shall be reviewed by the Disclosure Committee before release.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Primary spokesperson for strategy and vision. Presents at investor events. Leads the earnings call.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Primary spokesperson for financial performance and guidance. Leads financial sections of the earnings call. Approves all IR materials.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VP Investor Relations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day-to-day investor communications. Coordinates investor meetings. Monitors analyst estimates and market perception. Manages the IR website.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all investor communications for Reg FD compliance. Advises on MNPI determinations. Manages legal aspects of securities disclosure.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Validates financial data in all investor communications. Ensures consistency between IR materials and SEC filings.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Disclosure Committee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earnings releases and investor presentations. Evaluates materiality of information in investor communications.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of Directors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the guidance philosophy. Reviews major investor communications. Engages with shareholders on governance matters.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Earnings Process</w:t>
      </w:r>
    </w:p>
    <w:p>
      <w:pPr>
        <w:pStyle w:val="Heading3"/>
        <w:spacing w:after="100" w:before="200"/>
      </w:pPr>
      <w:r>
        <w:rPr>
          <w:rFonts w:ascii="Georgia" w:cs="Georgia" w:eastAsia="Georgia" w:hAnsi="Georgia"/>
          <w:b/>
          <w:bCs/>
          <w:color w:val="444444"/>
          <w:sz w:val="22"/>
          <w:szCs w:val="22"/>
        </w:rPr>
        <w:t xml:space="preserve">5.1.1 Earnings Release Preparation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FP&amp;A provides preliminary results to the Controller and CFO by Day [3] after quarter-end</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Controller finalizes results and validates all metrics in the earnings release template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IR drafts the earnings release with CFO input</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Legal reviews for Reg FD, Reg G (non-GAAP measures), and safe harbor compliance</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Disclosure Committee reviews and approves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CEO and CFO final approval</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Release issued on the wire after market close (or before market open per company practice)</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8-K filed on EDGAR same day</w:t>
      </w:r>
    </w:p>
    <w:p>
      <w:pPr>
        <w:pStyle w:val="Heading3"/>
        <w:spacing w:after="100" w:before="200"/>
      </w:pPr>
      <w:r>
        <w:rPr>
          <w:rFonts w:ascii="Georgia" w:cs="Georgia" w:eastAsia="Georgia" w:hAnsi="Georgia"/>
          <w:b/>
          <w:bCs/>
          <w:color w:val="444444"/>
          <w:sz w:val="22"/>
          <w:szCs w:val="22"/>
        </w:rPr>
        <w:t xml:space="preserve">5.1.2 Earnings Call</w:t>
      </w:r>
    </w:p>
    <w:p>
      <w:pPr>
        <w:spacing w:after="150" w:before="0"/>
        <w:jc w:val="both"/>
      </w:pPr>
      <w:r>
        <w:rPr>
          <w:rFonts w:ascii="Calibri" w:cs="Calibri" w:eastAsia="Calibri" w:hAnsi="Calibri"/>
          <w:color w:val="333333"/>
          <w:sz w:val="22"/>
          <w:szCs w:val="22"/>
        </w:rPr>
        <w:t xml:space="preserve">The earnings call shall include: prepared remarks from the CEO (strategic update) and CFO (financial review), a Q&amp;A session with analysts, and forward-looking statements accompanied by safe harbor language. Call preparation includes: Q&amp;A document anticipating likely analyst questions, pre-call rehearsal with CEO and CFO, and Legal monitoring of the live call for Reg FD issues.</w:t>
      </w:r>
    </w:p>
    <w:p>
      <w:pPr>
        <w:pStyle w:val="Heading2"/>
        <w:spacing w:after="150" w:before="300"/>
      </w:pPr>
      <w:r>
        <w:rPr>
          <w:rFonts w:ascii="Georgia" w:cs="Georgia" w:eastAsia="Georgia" w:hAnsi="Georgia"/>
          <w:b/>
          <w:bCs/>
          <w:color w:val="333333"/>
          <w:sz w:val="26"/>
          <w:szCs w:val="26"/>
        </w:rPr>
        <w:t xml:space="preserve">5.2 Investor Meeting Management</w:t>
      </w:r>
    </w:p>
    <w:p>
      <w:pPr>
        <w:pStyle w:val="Heading3"/>
        <w:spacing w:after="100" w:before="200"/>
      </w:pPr>
      <w:r>
        <w:rPr>
          <w:rFonts w:ascii="Georgia" w:cs="Georgia" w:eastAsia="Georgia" w:hAnsi="Georgia"/>
          <w:b/>
          <w:bCs/>
          <w:color w:val="444444"/>
          <w:sz w:val="22"/>
          <w:szCs w:val="22"/>
        </w:rPr>
        <w:t xml:space="preserve">5.2.1 Non-Deal Roadshows</w:t>
      </w:r>
    </w:p>
    <w:p>
      <w:pPr>
        <w:spacing w:after="150" w:before="0"/>
        <w:jc w:val="both"/>
      </w:pPr>
      <w:r>
        <w:rPr>
          <w:rFonts w:ascii="Calibri" w:cs="Calibri" w:eastAsia="Calibri" w:hAnsi="Calibri"/>
          <w:color w:val="333333"/>
          <w:sz w:val="22"/>
          <w:szCs w:val="22"/>
        </w:rPr>
        <w:t xml:space="preserve">IR shall coordinate non-deal roadshows [quarterly / semi-annually] targeting: current shareholders for relationship maintenance, prospective investors aligned with [Company Name]'s investment thesis, and geographic diversification of the shareholder base. All roadshow presentations shall use the current approved investor deck with no additional financial information beyond what is publicly available.</w:t>
      </w:r>
    </w:p>
    <w:p>
      <w:pPr>
        <w:pStyle w:val="Heading3"/>
        <w:spacing w:after="100" w:before="200"/>
      </w:pPr>
      <w:r>
        <w:rPr>
          <w:rFonts w:ascii="Georgia" w:cs="Georgia" w:eastAsia="Georgia" w:hAnsi="Georgia"/>
          <w:b/>
          <w:bCs/>
          <w:color w:val="444444"/>
          <w:sz w:val="22"/>
          <w:szCs w:val="22"/>
        </w:rPr>
        <w:t xml:space="preserve">5.2.2 Conference Participation</w:t>
      </w:r>
    </w:p>
    <w:p>
      <w:pPr>
        <w:spacing w:after="150" w:before="0"/>
        <w:jc w:val="both"/>
      </w:pPr>
      <w:r>
        <w:rPr>
          <w:rFonts w:ascii="Calibri" w:cs="Calibri" w:eastAsia="Calibri" w:hAnsi="Calibri"/>
          <w:color w:val="333333"/>
          <w:sz w:val="22"/>
          <w:szCs w:val="22"/>
        </w:rPr>
        <w:t xml:space="preserve">IR shall evaluate conference invitations based on: audience quality (% of target investors attending), format (fireside chat, presentation, 1-on-1 meetings), timing (not during quiet period), and cost-effectiveness. Conference participation shall be planned annually and approved by the CFO. All conference presentations and fireside chat talking points shall be reviewed by Legal.</w:t>
      </w:r>
    </w:p>
    <w:p>
      <w:pPr>
        <w:pStyle w:val="Heading3"/>
        <w:spacing w:after="100" w:before="200"/>
      </w:pPr>
      <w:r>
        <w:rPr>
          <w:rFonts w:ascii="Georgia" w:cs="Georgia" w:eastAsia="Georgia" w:hAnsi="Georgia"/>
          <w:b/>
          <w:bCs/>
          <w:color w:val="444444"/>
          <w:sz w:val="22"/>
          <w:szCs w:val="22"/>
        </w:rPr>
        <w:t xml:space="preserve">5.2.3 Meeting Documentation</w:t>
      </w:r>
    </w:p>
    <w:p>
      <w:pPr>
        <w:spacing w:after="150" w:before="0"/>
        <w:jc w:val="both"/>
      </w:pPr>
      <w:r>
        <w:rPr>
          <w:rFonts w:ascii="Calibri" w:cs="Calibri" w:eastAsia="Calibri" w:hAnsi="Calibri"/>
          <w:color w:val="333333"/>
          <w:sz w:val="22"/>
          <w:szCs w:val="22"/>
        </w:rPr>
        <w:t xml:space="preserve">IR shall maintain a log of all investor and analyst interactions including: date, attendees, topics discussed, and any questions that required follow-up. This log supports Reg FD compliance monitoring and provides intelligence for future communications.</w:t>
      </w:r>
    </w:p>
    <w:p>
      <w:pPr>
        <w:pStyle w:val="Heading2"/>
        <w:spacing w:after="150" w:before="300"/>
      </w:pPr>
      <w:r>
        <w:rPr>
          <w:rFonts w:ascii="Georgia" w:cs="Georgia" w:eastAsia="Georgia" w:hAnsi="Georgia"/>
          <w:b/>
          <w:bCs/>
          <w:color w:val="333333"/>
          <w:sz w:val="26"/>
          <w:szCs w:val="26"/>
        </w:rPr>
        <w:t xml:space="preserve">5.3 Analyst Coverage and Estimates</w:t>
      </w:r>
    </w:p>
    <w:p>
      <w:pPr>
        <w:pStyle w:val="Heading3"/>
        <w:spacing w:after="100" w:before="200"/>
      </w:pPr>
      <w:r>
        <w:rPr>
          <w:rFonts w:ascii="Georgia" w:cs="Georgia" w:eastAsia="Georgia" w:hAnsi="Georgia"/>
          <w:b/>
          <w:bCs/>
          <w:color w:val="444444"/>
          <w:sz w:val="22"/>
          <w:szCs w:val="22"/>
        </w:rPr>
        <w:t xml:space="preserve">5.3.1 Analyst Relations</w:t>
      </w:r>
    </w:p>
    <w:p>
      <w:pPr>
        <w:spacing w:after="150" w:before="0"/>
        <w:jc w:val="both"/>
      </w:pPr>
      <w:r>
        <w:rPr>
          <w:rFonts w:ascii="Calibri" w:cs="Calibri" w:eastAsia="Calibri" w:hAnsi="Calibri"/>
          <w:color w:val="333333"/>
          <w:sz w:val="22"/>
          <w:szCs w:val="22"/>
        </w:rPr>
        <w:t xml:space="preserve">IR shall maintain professional relationships with covering analysts. IR may: provide publicly available information and context, correct factual errors in analyst reports, decline to comment on matters involving MNPI, and direct analysts to public sources for information. IR shall NOT: confirm or deny analyst estimates, provide unpublished financial data, or signal that estimates are too high or too low (consensus management is prohibited).</w:t>
      </w:r>
    </w:p>
    <w:p>
      <w:pPr>
        <w:pStyle w:val="Heading3"/>
        <w:spacing w:after="100" w:before="200"/>
      </w:pPr>
      <w:r>
        <w:rPr>
          <w:rFonts w:ascii="Georgia" w:cs="Georgia" w:eastAsia="Georgia" w:hAnsi="Georgia"/>
          <w:b/>
          <w:bCs/>
          <w:color w:val="444444"/>
          <w:sz w:val="22"/>
          <w:szCs w:val="22"/>
        </w:rPr>
        <w:t xml:space="preserve">5.3.2 Consensus Monitoring</w:t>
      </w:r>
    </w:p>
    <w:p>
      <w:pPr>
        <w:spacing w:after="150" w:before="0"/>
        <w:jc w:val="both"/>
      </w:pPr>
      <w:r>
        <w:rPr>
          <w:rFonts w:ascii="Calibri" w:cs="Calibri" w:eastAsia="Calibri" w:hAnsi="Calibri"/>
          <w:color w:val="333333"/>
          <w:sz w:val="22"/>
          <w:szCs w:val="22"/>
        </w:rPr>
        <w:t xml:space="preserve">IR shall monitor consensus estimates and flag significant deviations from management expectations to the CFO. If consensus is materially misaligned with management's outlook, the appropriate response is to update public guidance (if the guidance range is no longer valid), not to selectively correct individual analysts.</w:t>
      </w:r>
    </w:p>
    <w:p>
      <w:pPr>
        <w:pStyle w:val="Heading2"/>
        <w:spacing w:after="150" w:before="300"/>
      </w:pPr>
      <w:r>
        <w:rPr>
          <w:rFonts w:ascii="Georgia" w:cs="Georgia" w:eastAsia="Georgia" w:hAnsi="Georgia"/>
          <w:b/>
          <w:bCs/>
          <w:color w:val="333333"/>
          <w:sz w:val="26"/>
          <w:szCs w:val="26"/>
        </w:rPr>
        <w:t xml:space="preserve">5.4 Shareholder Activism Preparedness</w:t>
      </w:r>
    </w:p>
    <w:p>
      <w:pPr>
        <w:spacing w:after="150" w:before="0"/>
        <w:jc w:val="both"/>
      </w:pPr>
      <w:r>
        <w:rPr>
          <w:rFonts w:ascii="Calibri" w:cs="Calibri" w:eastAsia="Calibri" w:hAnsi="Calibri"/>
          <w:color w:val="333333"/>
          <w:sz w:val="22"/>
          <w:szCs w:val="22"/>
        </w:rPr>
        <w:t xml:space="preserve">[Company Name] shall maintain activism preparedness through: quarterly monitoring of 13F filings for activist ownership, engagement with governance-focused investors on ESG and governance topics, vulnerability assessment conducted annually by IR with external advisor support, and response playbook maintained by Legal and IR for activist approaches.</w:t>
      </w:r>
    </w:p>
    <w:p>
      <w:pPr>
        <w:pStyle w:val="Heading2"/>
        <w:spacing w:after="150" w:before="300"/>
      </w:pPr>
      <w:r>
        <w:rPr>
          <w:rFonts w:ascii="Georgia" w:cs="Georgia" w:eastAsia="Georgia" w:hAnsi="Georgia"/>
          <w:b/>
          <w:bCs/>
          <w:color w:val="333333"/>
          <w:sz w:val="26"/>
          <w:szCs w:val="26"/>
        </w:rPr>
        <w:t xml:space="preserve">5.5 IR Website and Digital Communications</w:t>
      </w:r>
    </w:p>
    <w:p>
      <w:pPr>
        <w:spacing w:after="150" w:before="0"/>
        <w:jc w:val="both"/>
      </w:pPr>
      <w:r>
        <w:rPr>
          <w:rFonts w:ascii="Calibri" w:cs="Calibri" w:eastAsia="Calibri" w:hAnsi="Calibri"/>
          <w:color w:val="333333"/>
          <w:sz w:val="22"/>
          <w:szCs w:val="22"/>
        </w:rPr>
        <w:t xml:space="preserve">The IR section of the corporate website shall include: SEC filings (linked from EDGAR), press releases, stock information (price, dividends, history), events calendar (earnings dates, conferences), governance documents (charter, bylaws, committee charters), analyst coverage list, and contact information. All website content shall be reviewed quarterly for accuracy and currency.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IR Communication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Earnings press release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CEO + CFO + Disclosure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Earnings call script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Investor presentation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Legal review</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Guidance issuance or update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CEO + Board notification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Conference participation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Non-deal roadshow schedule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IR website content update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Financial content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Shareholder letter</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CEO + CFO + Board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Response to activist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CEO + CFO + Legal + Board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Inadvertent disclosure of MNPI during an investor interaction requires immediate escalation to the General Counsel. If the disclosure is confirmed as material, [Company Name] must issue a public disclosure (press release or 8-K) as soon as practicable, but no later than [24] hours after discovery. The General Counsel shall document the incident, assess Reg FD implications, and report to the Audit Committee.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investor meetings logged with topics discussed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investor communications for Reg FD compliance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perception study to assess investor understanding of [Company Name]'s strategy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Reg FD training for all authorized spokespersons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monitoring of shareholder register for ownership changes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Reg FD violations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Earnings release timeliness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On schedule 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Analyst coverage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 covering analysts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Institutional ownership</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Track trend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Investor meeting count (annual)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 meetings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Perception study favorability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Improving trend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Controls &amp; Procedures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Insider Trading &amp; Securities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Board &amp; Audit Committee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Crisis Management &amp; Financial Communications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Regulation FD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Regulation G (Non-GAAP Measures)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Regulation S-K</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Quarterly IR Calendar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Timeframe</w:t>
            </w:r>
          </w:p>
        </w:tc>
        <w:tc>
          <w:tcPr>
            <w:tcW w:type="dxa" w:w="6160"/>
            <w:shd w:fill="0C0C0C" w:val="clear"/>
          </w:tcPr>
          <w:p>
            <w:pPr>
              <w:spacing w:after="60" w:before="60"/>
            </w:pPr>
            <w:r>
              <w:rPr>
                <w:rFonts w:ascii="Calibri" w:cs="Calibri" w:eastAsia="Calibri" w:hAnsi="Calibri"/>
                <w:b/>
                <w:bCs/>
                <w:color w:val="D4AF37"/>
                <w:sz w:val="20"/>
                <w:szCs w:val="20"/>
              </w:rPr>
              <w:t xml:space="preserve">Activity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Quarter start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Post-earnings investor meetings and conference follow-up</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Mid-quarter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Non-deal roadshow, conference participation, targeting outreach</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Quarter end minus 14 days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Quiet period begins; no investor meetings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Quarter end plus [X] days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Earnings release and call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Post-earnings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Investor meetings, conference calls, feedback collection</w:t>
            </w:r>
          </w:p>
        </w:tc>
      </w:tr>
    </w:tbl>
    <w:p>
      <w:pPr>
        <w:pStyle w:val="Heading2"/>
        <w:spacing w:after="150" w:before="300"/>
      </w:pPr>
      <w:r>
        <w:rPr>
          <w:rFonts w:ascii="Georgia" w:cs="Georgia" w:eastAsia="Georgia" w:hAnsi="Georgia"/>
          <w:b/>
          <w:bCs/>
          <w:color w:val="333333"/>
          <w:sz w:val="26"/>
          <w:szCs w:val="26"/>
        </w:rPr>
        <w:t xml:space="preserve">Appendix B — Reg FD Compliance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Are all meeting talking points based solely on publicly available information?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Has Legal reviewed the presentation for MNPI content?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Are authorized spokespersons briefed on what cannot be discussed?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Is the earnings call publicly webcast with replay available?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Are all non-GAAP measures properly reconciled per Reg 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Is the quiet period calendar published and being observed?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Investor Relations &amp; Reg FD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2026-07-13T08:15:21.907Z</dcterms:created>
  <dcterms:modified xsi:type="dcterms:W3CDTF">2026-07-13T08:15:21.920Z</dcterms:modified>
</cp:coreProperties>
</file>

<file path=docProps/custom.xml><?xml version="1.0" encoding="utf-8"?>
<Properties xmlns="http://schemas.openxmlformats.org/officeDocument/2006/custom-properties" xmlns:vt="http://schemas.openxmlformats.org/officeDocument/2006/docPropsVTypes"/>
</file>