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Insider Trading &amp; Securities Compliance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Insider Trading and Securities Compliance Policy establishes the standards and procedures for preventing unlawful insider trading by [Company Name]'s directors, officers, employees, and other insiders. The policy ensures compliance with the Securities Exchange Act of 1934, SEC Rule 10b-5, and related regulations prohibiting trading on material non-public information (MNPI).</w:t>
      </w:r>
    </w:p>
    <w:p>
      <w:pPr>
        <w:spacing w:after="150" w:before="0"/>
        <w:jc w:val="both"/>
      </w:pPr>
      <w:r>
        <w:rPr>
          <w:rFonts w:ascii="Calibri" w:cs="Calibri" w:eastAsia="Calibri" w:hAnsi="Calibri"/>
          <w:color w:val="333333"/>
          <w:sz w:val="22"/>
          <w:szCs w:val="22"/>
        </w:rPr>
        <w:t xml:space="preserve">This policy applies to all directors, officers, employees (including temporary and contract workers), and any other person who receives MNPI about [Company Name] or its business partners through their relationship with the company.</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Prevent unlawful insider trading and tipping of MNPI</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trading windows and blackout periods around earnings announcements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Require pre-clearance of trades by Section 16 insiders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timely Section 16 reporting (Forms 3, 4, 5)</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Encourage 10b5-1 trading plans for systematic trading programs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Protect [Company Name] and individuals from severe civil and criminal penalties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Insider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Any person who possesses MNPI about [Company Name], including directors, officers, employees, contractors, and advisors.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Material Non-Public Information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Information that a reasonable investor would consider important in making an investment decision AND that has not been broadly disseminated to the public.</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Blackout Period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period during which insiders are prohibited from trading company securities (typically begins [14] days before quarter-end and ends [2] business days after earnings release).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Trading Window</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period during which trading is permitted for insiders (the open window outside of blackout periods).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Pre-Clearance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requirement for designated insiders to obtain approval before trading company securities.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Section 16</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SEC rules requiring officers and directors to file public reports of their transactions in company securities.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Form 4</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SEC form reporting changes in beneficial ownership by officers and directors, due within [2] business days of the transaction.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10b5-1 Plan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written trading plan adopted in good faith when the insider does not possess MNPI, providing an affirmative defense to insider trading claims.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Tipping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disclosure of MNPI to another person who then trades on the information (both tipper and tippee are liable).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Short-Swing Profits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Profits from matching purchases and sales (or sales and purchases) within a 6-month period by Section 16 insiders, which must be disgorged to the company under Section 16(b).</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Prohibition on Insider Trading</w:t>
      </w:r>
    </w:p>
    <w:p>
      <w:pPr>
        <w:spacing w:after="150" w:before="0"/>
        <w:jc w:val="both"/>
      </w:pPr>
      <w:r>
        <w:rPr>
          <w:rFonts w:ascii="Calibri" w:cs="Calibri" w:eastAsia="Calibri" w:hAnsi="Calibri"/>
          <w:color w:val="333333"/>
          <w:sz w:val="22"/>
          <w:szCs w:val="22"/>
        </w:rPr>
        <w:t xml:space="preserve">No insider shall, directly or indirectly: buy or sell [Company Name] securities while in possession of MNPI, buy or sell the securities of any other company while in possession of MNPI obtained through their role at [Company Name] (e.g., M&amp;A targets, major customers, suppliers), or disclose MNPI to any person who might trade on it (tipping), including family members, friends, and business associates. This prohibition applies regardless of how the MNPI was obtained and regardless of whether the insider believes the information is already widely known.</w:t>
      </w:r>
    </w:p>
    <w:p>
      <w:pPr>
        <w:pStyle w:val="Heading2"/>
        <w:spacing w:after="150" w:before="300"/>
      </w:pPr>
      <w:r>
        <w:rPr>
          <w:rFonts w:ascii="Georgia" w:cs="Georgia" w:eastAsia="Georgia" w:hAnsi="Georgia"/>
          <w:b/>
          <w:bCs/>
          <w:color w:val="333333"/>
          <w:sz w:val="26"/>
          <w:szCs w:val="26"/>
        </w:rPr>
        <w:t xml:space="preserve">3.2 Blackout Periods</w:t>
      </w:r>
    </w:p>
    <w:p>
      <w:pPr>
        <w:spacing w:after="150" w:before="0"/>
        <w:jc w:val="both"/>
      </w:pPr>
      <w:r>
        <w:rPr>
          <w:rFonts w:ascii="Calibri" w:cs="Calibri" w:eastAsia="Calibri" w:hAnsi="Calibri"/>
          <w:color w:val="333333"/>
          <w:sz w:val="22"/>
          <w:szCs w:val="22"/>
        </w:rPr>
        <w:t xml:space="preserve">[Company Name] shall impose blackout periods during which all insiders are prohibited from trading: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Regular blackout: begins [14] calendar days before the end of each fiscal quarter and ends [2] full business days after the public release of earnings for that quarter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Special blackout: may be imposed at any time by the General Counsel when MNPI exists that has not been publicly disclosed (e.g., pending M&amp;A, restatement, material event)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During blackout periods, insiders may not: buy or sell company stock, exercise stock options (except cashless exercises required by expiration), make changes to 401(k) investment elections affecting company stock, or engage in short sales, puts, calls, or hedging transactions involving company securities</w:t>
      </w:r>
    </w:p>
    <w:p>
      <w:pPr>
        <w:pStyle w:val="Heading2"/>
        <w:spacing w:after="150" w:before="300"/>
      </w:pPr>
      <w:r>
        <w:rPr>
          <w:rFonts w:ascii="Georgia" w:cs="Georgia" w:eastAsia="Georgia" w:hAnsi="Georgia"/>
          <w:b/>
          <w:bCs/>
          <w:color w:val="333333"/>
          <w:sz w:val="26"/>
          <w:szCs w:val="26"/>
        </w:rPr>
        <w:t xml:space="preserve">3.3 Pre-Clearance Requirements</w:t>
      </w:r>
    </w:p>
    <w:p>
      <w:pPr>
        <w:spacing w:after="150" w:before="0"/>
        <w:jc w:val="both"/>
      </w:pPr>
      <w:r>
        <w:rPr>
          <w:rFonts w:ascii="Calibri" w:cs="Calibri" w:eastAsia="Calibri" w:hAnsi="Calibri"/>
          <w:color w:val="333333"/>
          <w:sz w:val="22"/>
          <w:szCs w:val="22"/>
        </w:rPr>
        <w:t xml:space="preserve">The following individuals must obtain pre-clearance from the General Counsel before any transaction in company securities: all Section 16 officers and directors, all members of the executive leadership team, and any other individual designated by the General Counsel. Pre-clearance requests must be submitted at least [2] business days before the proposed transaction. Pre-clearance approval is valid for [3] business days. Pre-clearance does not constitute legal advice that the trade is lawful; the individual remains responsible for confirming they do not possess MNPI.</w:t>
      </w:r>
    </w:p>
    <w:p>
      <w:pPr>
        <w:pStyle w:val="Heading2"/>
        <w:spacing w:after="150" w:before="300"/>
      </w:pPr>
      <w:r>
        <w:rPr>
          <w:rFonts w:ascii="Georgia" w:cs="Georgia" w:eastAsia="Georgia" w:hAnsi="Georgia"/>
          <w:b/>
          <w:bCs/>
          <w:color w:val="333333"/>
          <w:sz w:val="26"/>
          <w:szCs w:val="26"/>
        </w:rPr>
        <w:t xml:space="preserve">3.4 10b5-1 Trading Plans</w:t>
      </w:r>
    </w:p>
    <w:p>
      <w:pPr>
        <w:spacing w:after="150" w:before="0"/>
        <w:jc w:val="both"/>
      </w:pPr>
      <w:r>
        <w:rPr>
          <w:rFonts w:ascii="Calibri" w:cs="Calibri" w:eastAsia="Calibri" w:hAnsi="Calibri"/>
          <w:color w:val="333333"/>
          <w:sz w:val="22"/>
          <w:szCs w:val="22"/>
        </w:rPr>
        <w:t xml:space="preserve">[Company Name] encourages Section 16 insiders who wish to trade systematically to adopt 10b5-1 trading plans. Plans must: be adopted during an open trading window when the insider does not possess MNPI, include a [90]-day cooling-off period before the first trade (or until the next earnings release, whichever is later), be in writing and executed in good faith, not be adopted and terminated in a pattern suggesting manipulation, and be disclosed in the next proxy statement as required by SEC rules. The General Counsel must review and approve all 10b5-1 plans before adoption.</w:t>
      </w:r>
    </w:p>
    <w:p>
      <w:pPr>
        <w:pStyle w:val="Heading2"/>
        <w:spacing w:after="150" w:before="300"/>
      </w:pPr>
      <w:r>
        <w:rPr>
          <w:rFonts w:ascii="Georgia" w:cs="Georgia" w:eastAsia="Georgia" w:hAnsi="Georgia"/>
          <w:b/>
          <w:bCs/>
          <w:color w:val="333333"/>
          <w:sz w:val="26"/>
          <w:szCs w:val="26"/>
        </w:rPr>
        <w:t xml:space="preserve">3.5 Prohibited Transactions</w:t>
      </w:r>
    </w:p>
    <w:p>
      <w:pPr>
        <w:spacing w:after="150" w:before="0"/>
        <w:jc w:val="both"/>
      </w:pPr>
      <w:r>
        <w:rPr>
          <w:rFonts w:ascii="Calibri" w:cs="Calibri" w:eastAsia="Calibri" w:hAnsi="Calibri"/>
          <w:color w:val="333333"/>
          <w:sz w:val="22"/>
          <w:szCs w:val="22"/>
        </w:rPr>
        <w:t xml:space="preserve">The following transactions are prohibited for all insiders regardless of whether a trading window is open: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Short sales of company securities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Hedging transactions (puts, calls, collars, prepaid variable forwards, exchange funds) that reduce the insider's economic risk of ownership</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Pledging company securities as collateral for a loan (without Board pre-approval)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Excessive trading that could indicate speculation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Board of Directors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this policy. Complies with trading restrictions. Reports transactions (Section 16).</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CEO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Sets tone for compliance. Complies with trading restrictions and pre-clearance. Certifies annual compliance.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General Counsel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Administers this policy. Manages pre-clearance process. Reviews 10b5-1 plans. Issues blackout notices. Files Section 16 reports.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Coordinates blackout period timing with earnings releases. Reviews insider trading impact on financial reporting.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VP Investor Relations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Reg FD compliance. Identifies situations where MNPI may be at risk of selective disclosure.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Section 16 Officers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Comply with all trading restrictions. Pre-clear all transactions. Report transactions for Form 4 filing.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All Employees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Do not trade on MNPI. Do not tip MNPI. Report suspected insider trading.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Compliance Officer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Monitors trading activity. Investigates suspected violations. Provides training.</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Pre-Clearance Process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Insider submits a pre-clearance request to the General Counsel via [pre-clearance system or email]</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Request includes: type of transaction (buy, sell, exercise, gift), number of shares, and expected timing</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General Counsel verifies: trading window is open, no special blackout is in effect, no known MNPI exists that would prevent the trade, and the individual is current on certifications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General Counsel approves or denies within [1] business day</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If approved, the insider must complete the transaction within [3] business days</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After the transaction, the insider notifies the General Counsel for Section 16 filing (if applicable)</w:t>
      </w:r>
    </w:p>
    <w:p>
      <w:pPr>
        <w:pStyle w:val="Heading2"/>
        <w:spacing w:after="150" w:before="300"/>
      </w:pPr>
      <w:r>
        <w:rPr>
          <w:rFonts w:ascii="Georgia" w:cs="Georgia" w:eastAsia="Georgia" w:hAnsi="Georgia"/>
          <w:b/>
          <w:bCs/>
          <w:color w:val="333333"/>
          <w:sz w:val="26"/>
          <w:szCs w:val="26"/>
        </w:rPr>
        <w:t xml:space="preserve">5.2 Section 16 Reporting</w:t>
      </w:r>
    </w:p>
    <w:p>
      <w:pPr>
        <w:pStyle w:val="Heading3"/>
        <w:spacing w:after="100" w:before="200"/>
      </w:pPr>
      <w:r>
        <w:rPr>
          <w:rFonts w:ascii="Georgia" w:cs="Georgia" w:eastAsia="Georgia" w:hAnsi="Georgia"/>
          <w:b/>
          <w:bCs/>
          <w:color w:val="444444"/>
          <w:sz w:val="22"/>
          <w:szCs w:val="22"/>
        </w:rPr>
        <w:t xml:space="preserve">5.2.1 Form 3 (Initial Statement)</w:t>
      </w:r>
    </w:p>
    <w:p>
      <w:pPr>
        <w:spacing w:after="150" w:before="0"/>
        <w:jc w:val="both"/>
      </w:pPr>
      <w:r>
        <w:rPr>
          <w:rFonts w:ascii="Calibri" w:cs="Calibri" w:eastAsia="Calibri" w:hAnsi="Calibri"/>
          <w:color w:val="333333"/>
          <w:sz w:val="22"/>
          <w:szCs w:val="22"/>
        </w:rPr>
        <w:t xml:space="preserve">Filed within [10] days of becoming a Section 16 officer or director. Reports all beneficial ownership of company securities.</w:t>
      </w:r>
    </w:p>
    <w:p>
      <w:pPr>
        <w:pStyle w:val="Heading3"/>
        <w:spacing w:after="100" w:before="200"/>
      </w:pPr>
      <w:r>
        <w:rPr>
          <w:rFonts w:ascii="Georgia" w:cs="Georgia" w:eastAsia="Georgia" w:hAnsi="Georgia"/>
          <w:b/>
          <w:bCs/>
          <w:color w:val="444444"/>
          <w:sz w:val="22"/>
          <w:szCs w:val="22"/>
        </w:rPr>
        <w:t xml:space="preserve">5.2.2 Form 4 (Changes in Ownership)</w:t>
      </w:r>
    </w:p>
    <w:p>
      <w:pPr>
        <w:spacing w:after="150" w:before="0"/>
        <w:jc w:val="both"/>
      </w:pPr>
      <w:r>
        <w:rPr>
          <w:rFonts w:ascii="Calibri" w:cs="Calibri" w:eastAsia="Calibri" w:hAnsi="Calibri"/>
          <w:color w:val="333333"/>
          <w:sz w:val="22"/>
          <w:szCs w:val="22"/>
        </w:rPr>
        <w:t xml:space="preserve">Filed within [2] business days of any change in beneficial ownership (purchase, sale, option exercise, gift, vesting of RSUs). The General Counsel shall ensure timely filing through the equity administration platform.</w:t>
      </w:r>
    </w:p>
    <w:p>
      <w:pPr>
        <w:pStyle w:val="Heading3"/>
        <w:spacing w:after="100" w:before="200"/>
      </w:pPr>
      <w:r>
        <w:rPr>
          <w:rFonts w:ascii="Georgia" w:cs="Georgia" w:eastAsia="Georgia" w:hAnsi="Georgia"/>
          <w:b/>
          <w:bCs/>
          <w:color w:val="444444"/>
          <w:sz w:val="22"/>
          <w:szCs w:val="22"/>
        </w:rPr>
        <w:t xml:space="preserve">5.2.3 Form 5 (Annual Statement)</w:t>
      </w:r>
    </w:p>
    <w:p>
      <w:pPr>
        <w:spacing w:after="150" w:before="0"/>
        <w:jc w:val="both"/>
      </w:pPr>
      <w:r>
        <w:rPr>
          <w:rFonts w:ascii="Calibri" w:cs="Calibri" w:eastAsia="Calibri" w:hAnsi="Calibri"/>
          <w:color w:val="333333"/>
          <w:sz w:val="22"/>
          <w:szCs w:val="22"/>
        </w:rPr>
        <w:t xml:space="preserve">Filed within [45] days after fiscal year-end reporting any transactions not previously reported on Form 4 (exempt transactions, small acquisitions). [Company Name] targets zero Form 5 filings by ensuring all reportable transactions are reported on Form 4.</w:t>
      </w:r>
    </w:p>
    <w:p>
      <w:pPr>
        <w:pStyle w:val="Heading2"/>
        <w:spacing w:after="150" w:before="300"/>
      </w:pPr>
      <w:r>
        <w:rPr>
          <w:rFonts w:ascii="Georgia" w:cs="Georgia" w:eastAsia="Georgia" w:hAnsi="Georgia"/>
          <w:b/>
          <w:bCs/>
          <w:color w:val="333333"/>
          <w:sz w:val="26"/>
          <w:szCs w:val="26"/>
        </w:rPr>
        <w:t xml:space="preserve">5.3 10b5-1 Plan Procedures</w:t>
      </w:r>
    </w:p>
    <w:p>
      <w:pPr>
        <w:pStyle w:val="Heading3"/>
        <w:spacing w:after="100" w:before="200"/>
      </w:pPr>
      <w:r>
        <w:rPr>
          <w:rFonts w:ascii="Georgia" w:cs="Georgia" w:eastAsia="Georgia" w:hAnsi="Georgia"/>
          <w:b/>
          <w:bCs/>
          <w:color w:val="444444"/>
          <w:sz w:val="22"/>
          <w:szCs w:val="22"/>
        </w:rPr>
        <w:t xml:space="preserve">5.3.1 Plan Adoption</w:t>
      </w:r>
    </w:p>
    <w:p>
      <w:pPr>
        <w:spacing w:after="150" w:before="0"/>
        <w:jc w:val="both"/>
      </w:pPr>
      <w:r>
        <w:rPr>
          <w:rFonts w:ascii="Calibri" w:cs="Calibri" w:eastAsia="Calibri" w:hAnsi="Calibri"/>
          <w:color w:val="333333"/>
          <w:sz w:val="22"/>
          <w:szCs w:val="22"/>
        </w:rPr>
        <w:t xml:space="preserve">To adopt a 10b5-1 plan, the insider shall: confirm they do not possess MNPI (written certification), prepare the plan in consultation with their personal broker and legal counsel, submit the plan to the General Counsel for review at least [10] business days before the requested adoption date, and adopt the plan during an open trading window after General Counsel approval.</w:t>
      </w:r>
    </w:p>
    <w:p>
      <w:pPr>
        <w:pStyle w:val="Heading3"/>
        <w:spacing w:after="100" w:before="200"/>
      </w:pPr>
      <w:r>
        <w:rPr>
          <w:rFonts w:ascii="Georgia" w:cs="Georgia" w:eastAsia="Georgia" w:hAnsi="Georgia"/>
          <w:b/>
          <w:bCs/>
          <w:color w:val="444444"/>
          <w:sz w:val="22"/>
          <w:szCs w:val="22"/>
        </w:rPr>
        <w:t xml:space="preserve">5.3.2 Plan Modifications and Terminations</w:t>
      </w:r>
    </w:p>
    <w:p>
      <w:pPr>
        <w:spacing w:after="150" w:before="0"/>
        <w:jc w:val="both"/>
      </w:pPr>
      <w:r>
        <w:rPr>
          <w:rFonts w:ascii="Calibri" w:cs="Calibri" w:eastAsia="Calibri" w:hAnsi="Calibri"/>
          <w:color w:val="333333"/>
          <w:sz w:val="22"/>
          <w:szCs w:val="22"/>
        </w:rPr>
        <w:t xml:space="preserve">Plan modifications are treated as new plan adoptions (requiring a new cooling-off period). Plan terminations must be reported to the General Counsel immediately. Frequent plan adoptions and terminations may indicate bad faith and will be reviewed by the General Counsel.</w:t>
      </w:r>
    </w:p>
    <w:p>
      <w:pPr>
        <w:pStyle w:val="Heading2"/>
        <w:spacing w:after="150" w:before="300"/>
      </w:pPr>
      <w:r>
        <w:rPr>
          <w:rFonts w:ascii="Georgia" w:cs="Georgia" w:eastAsia="Georgia" w:hAnsi="Georgia"/>
          <w:b/>
          <w:bCs/>
          <w:color w:val="333333"/>
          <w:sz w:val="26"/>
          <w:szCs w:val="26"/>
        </w:rPr>
        <w:t xml:space="preserve">5.4 Education and Certification</w:t>
      </w:r>
    </w:p>
    <w:p>
      <w:pPr>
        <w:spacing w:after="150" w:before="0"/>
        <w:jc w:val="both"/>
      </w:pPr>
      <w:r>
        <w:rPr>
          <w:rFonts w:ascii="Calibri" w:cs="Calibri" w:eastAsia="Calibri" w:hAnsi="Calibri"/>
          <w:color w:val="333333"/>
          <w:sz w:val="22"/>
          <w:szCs w:val="22"/>
        </w:rPr>
        <w:t xml:space="preserve">All insiders shall: complete insider trading training within [30] days of becoming an insider and annually thereafter, acknowledge this policy in writing upon hire and annually, and certify at each quarterly blackout that they do not hold MNPI that was not properly disclosed.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Action</w:t>
            </w:r>
          </w:p>
        </w:tc>
        <w:tc>
          <w:tcPr>
            <w:tcW w:type="dxa" w:w="2400"/>
            <w:shd w:fill="0C0C0C" w:val="clear"/>
          </w:tcPr>
          <w:p>
            <w:pPr>
              <w:spacing w:after="60" w:before="60"/>
            </w:pPr>
            <w:r>
              <w:rPr>
                <w:rFonts w:ascii="Calibri" w:cs="Calibri" w:eastAsia="Calibri" w:hAnsi="Calibri"/>
                <w:b/>
                <w:bCs/>
                <w:color w:val="D4AF37"/>
                <w:sz w:val="20"/>
                <w:szCs w:val="20"/>
              </w:rPr>
              <w:t xml:space="preserve">Scope</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Pre-clearance of insider trades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 Section 16 + designated insiders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General Counsel</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10b5-1 plan adoption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General Counsel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Special blackout period imposition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 insiders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General Counsel (notification to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Pledging of company securities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Board members only</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Full Board approval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Policy exception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Not permitted for trading on MNPI</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N/A — no exceptions</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Investigation of suspected violation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 reports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General Counsel + Compliance</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There are NO exceptions to the prohibition on insider trading. The law provides no de minimis exemption — trading on even a small amount of MNPI is illegal. Suspected violations shall be reported to the General Counsel immediately. If the General Counsel is implicated, reports shall be made to the Audit Committee Chair. Violations may result in: immediate termination, disgorgement of trading profits, civil penalties up to $5 million (individuals) or $25 million (entities), and criminal penalties up to 20 years imprisonment (individuals).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Automated monitoring of insider trades vs. blackout periods and pre-clearance records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review of all Section 16 transactions for timely Form 4 filing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policy acknowledgment and training completion: 100%</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review of 10b5-1 plans for compliance with current SEC rules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Monitoring of employee trades for suspicious timing relative to material announcements</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Blackout compliance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 — zero trades during blackout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Pre-clearance compliance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 — zero unauthorized trades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Form 4 filing timeliness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 within 2 business days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Policy acknowledgment rate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 annually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Insider trading training completion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Insider trading violations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Zero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Disclosure Controls &amp; Procedures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Equity Compensation Administration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Code of Conduct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Fraud Prevention &amp; Whistleblower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Securities Exchange Act of 1934, Section 10(b)</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SEC Rule 10b-5</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SEC Rule 10b5-1 (Trading Plans)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Section 16 (Forms 3, 4, 5)</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Section 16(b) (Short-Swing Profits)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Regulation FD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Blackout Period Calendar</w:t>
      </w:r>
    </w:p>
    <w:p>
      <w:pPr>
        <w:spacing w:after="150" w:before="0"/>
        <w:jc w:val="both"/>
      </w:pPr>
      <w:r>
        <w:rPr>
          <w:rFonts w:ascii="Calibri" w:cs="Calibri" w:eastAsia="Calibri" w:hAnsi="Calibri"/>
          <w:color w:val="333333"/>
          <w:sz w:val="22"/>
          <w:szCs w:val="22"/>
        </w:rPr>
        <w:t xml:space="preserve">The annual blackout calendar is published by the General Counsel at the beginning of each fiscal year. It specifies the start and end dates of each quarterly blackout period based on the expected earnings release schedule. Special blackouts are communicated as they are imposed.</w:t>
      </w:r>
    </w:p>
    <w:p>
      <w:pPr>
        <w:pStyle w:val="Heading2"/>
        <w:spacing w:after="150" w:before="300"/>
      </w:pPr>
      <w:r>
        <w:rPr>
          <w:rFonts w:ascii="Georgia" w:cs="Georgia" w:eastAsia="Georgia" w:hAnsi="Georgia"/>
          <w:b/>
          <w:bCs/>
          <w:color w:val="333333"/>
          <w:sz w:val="26"/>
          <w:szCs w:val="26"/>
        </w:rPr>
        <w:t xml:space="preserve">Appendix B — Pre-Clearance Request Form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Name and title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Insider requesting clearance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Transaction type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Buy / Sell / Exercise / Gift / Other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Number of shares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Quantity of shares involved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Expected date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When the transaction will occur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Certification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 confirm I do not possess MNPI (signature)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Approval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General Counsel approval / denial with date</w:t>
            </w:r>
          </w:p>
        </w:tc>
      </w:tr>
    </w:tbl>
    <w:p>
      <w:pPr>
        <w:pStyle w:val="Heading2"/>
        <w:spacing w:after="150" w:before="300"/>
      </w:pPr>
      <w:r>
        <w:rPr>
          <w:rFonts w:ascii="Georgia" w:cs="Georgia" w:eastAsia="Georgia" w:hAnsi="Georgia"/>
          <w:b/>
          <w:bCs/>
          <w:color w:val="333333"/>
          <w:sz w:val="26"/>
          <w:szCs w:val="26"/>
        </w:rPr>
        <w:t xml:space="preserve">Appendix C — Examples of MNPI</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Earnings results before public release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Revenue or profit forecast changes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Pending M&amp;A transactions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Major new customer wins or customer losses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Material litigation developments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Changes in senior management or the Board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Significant product launches or failures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Cybersecurity incidents affecting operations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Impending dividend changes or stock splits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Regulatory actions or investigations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Insider Trading &amp; Securities Compliance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2026-07-13T08:08:27.449Z</dcterms:created>
  <dcterms:modified xsi:type="dcterms:W3CDTF">2026-07-13T08:08:27.449Z</dcterms:modified>
</cp:coreProperties>
</file>

<file path=docProps/custom.xml><?xml version="1.0" encoding="utf-8"?>
<Properties xmlns="http://schemas.openxmlformats.org/officeDocument/2006/custom-properties" xmlns:vt="http://schemas.openxmlformats.org/officeDocument/2006/docPropsVTypes"/>
</file>