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Disclosure Controls &amp; Procedures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Disclosure Controls and Procedures (DC&amp;P) Policy establishes the framework for ensuring that all material information about [Company Name] is properly identified, evaluated, and disclosed in SEC filings and other public communications on a timely basis. The policy ensures compliance with Exchange Act Rules 13a-15 and 15d-15 and supports the CEO and CFO SOX Section 302 certifications.</w:t>
      </w:r>
    </w:p>
    <w:p>
      <w:pPr>
        <w:spacing w:after="150" w:before="0"/>
        <w:jc w:val="both"/>
      </w:pPr>
      <w:r>
        <w:rPr>
          <w:rFonts w:ascii="Calibri" w:cs="Calibri" w:eastAsia="Calibri" w:hAnsi="Calibri"/>
          <w:color w:val="333333"/>
          <w:sz w:val="22"/>
          <w:szCs w:val="22"/>
        </w:rPr>
        <w:t xml:space="preserve">This policy applies to all public disclosures made by [Company Name] including: SEC filings (10-K, 10-Q, 8-K, proxy statement, registration statements), earnings releases and related communications, investor presentations and conferences, corporate website content, social media communications, and press releases with financial content.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material information is communicated to senior management and disclosed to investors on a timely basis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Disclosure Committee that evaluates materiality and disclosure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procedures that identify and escalate potentially material information from across the organization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the CEO and CFO SOX 302 certifications regarding disclosure controls effectiveness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Regulation FD (Fair Disclosure) in all investor communications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consistency and accuracy across all public communications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Controls and Procedures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Controls designed to ensure that information required to be disclosed in SEC reports is recorded, processed, summarized, and reported within required time periods, and communicated to management to allow timely decisions regarding disclosure.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Disclosure Committee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cross-functional committee responsible for evaluating materiality and recommending disclosure decisions to the CEO and CFO.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Materiality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Information is material if there is a substantial likelihood that a reasonable investor would consider it important in making an investment decision.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8-K Trigger Event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event requiring disclosure on Form 8-K, typically within four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Regulation FD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SEC regulation prohibiting selective disclosure of material non-public information to certain parties.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Earnings Guidance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Forward-looking statements about expected financial performance provided to investors.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Safe Harbor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statutory protection for forward-looking statements that are identified as such and accompanied by meaningful cautionary language.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Black-Out Period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period during which insiders are prohibited from trading company securities, typically surrounding earnings announcements.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MNPI</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Material Non-Public Information — information that is both material and not yet publicly disseminated.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 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SEC regulation governing the use and presentation of non-GAAP financial measures in public communications.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Disclosure Committee</w:t>
      </w:r>
    </w:p>
    <w:p>
      <w:pPr>
        <w:spacing w:after="150" w:before="0"/>
        <w:jc w:val="both"/>
      </w:pPr>
      <w:r>
        <w:rPr>
          <w:rFonts w:ascii="Calibri" w:cs="Calibri" w:eastAsia="Calibri" w:hAnsi="Calibri"/>
          <w:color w:val="333333"/>
          <w:sz w:val="22"/>
          <w:szCs w:val="22"/>
        </w:rPr>
        <w:t xml:space="preserve">[Company Name] shall maintain a Disclosure Committee comprising: CFO (Chair), Controller, General Counsel, VP Investor Relations, and other members as designated by the CFO. The Committee shall meet: quarterly (before each earnings release and SEC filing), ad hoc (when potentially material events occur), and as needed (for special disclosures, restatements, or regulatory inquiries).</w:t>
      </w:r>
    </w:p>
    <w:p>
      <w:pPr>
        <w:pStyle w:val="Heading2"/>
        <w:spacing w:after="150" w:before="300"/>
      </w:pPr>
      <w:r>
        <w:rPr>
          <w:rFonts w:ascii="Georgia" w:cs="Georgia" w:eastAsia="Georgia" w:hAnsi="Georgia"/>
          <w:b/>
          <w:bCs/>
          <w:color w:val="333333"/>
          <w:sz w:val="26"/>
          <w:szCs w:val="26"/>
        </w:rPr>
        <w:t xml:space="preserve">3.2 Materiality Assessment</w:t>
      </w:r>
    </w:p>
    <w:p>
      <w:pPr>
        <w:spacing w:after="150" w:before="0"/>
        <w:jc w:val="both"/>
      </w:pPr>
      <w:r>
        <w:rPr>
          <w:rFonts w:ascii="Calibri" w:cs="Calibri" w:eastAsia="Calibri" w:hAnsi="Calibri"/>
          <w:color w:val="333333"/>
          <w:sz w:val="22"/>
          <w:szCs w:val="22"/>
        </w:rPr>
        <w:t xml:space="preserve">The Disclosure Committee shall evaluate potential disclosures using both quantitative and qualitative materiality criteria. Quantitative: items exceeding [5%] of pre-tax income, [1%] of total revenue, or [1%] of total assets are presumptively material. Qualitative: items that change a loss to profit (or vice versa), affect covenant compliance, involve related party transactions, conceal unlawful conduct, or involve trends that could affect future performance may be material regardless of amount.</w:t>
      </w:r>
    </w:p>
    <w:p>
      <w:pPr>
        <w:pStyle w:val="Heading2"/>
        <w:spacing w:after="150" w:before="300"/>
      </w:pPr>
      <w:r>
        <w:rPr>
          <w:rFonts w:ascii="Georgia" w:cs="Georgia" w:eastAsia="Georgia" w:hAnsi="Georgia"/>
          <w:b/>
          <w:bCs/>
          <w:color w:val="333333"/>
          <w:sz w:val="26"/>
          <w:szCs w:val="26"/>
        </w:rPr>
        <w:t xml:space="preserve">3.3 Escalation Obligations</w:t>
      </w:r>
    </w:p>
    <w:p>
      <w:pPr>
        <w:spacing w:after="150" w:before="0"/>
        <w:jc w:val="both"/>
      </w:pPr>
      <w:r>
        <w:rPr>
          <w:rFonts w:ascii="Calibri" w:cs="Calibri" w:eastAsia="Calibri" w:hAnsi="Calibri"/>
          <w:color w:val="333333"/>
          <w:sz w:val="22"/>
          <w:szCs w:val="22"/>
        </w:rPr>
        <w:t xml:space="preserve">All employees have an obligation to escalate potentially material information to the Disclosure Committee through their management chain. Specifically, the following events must be reported to the General Counsel or CFO within [24] hours: receipt of a subpoena, regulatory inquiry, or government investigation; threatened or actual material litigation; material contract execution, termination, or breach; discovery of a potential accounting error or financial misstatement; departure of a key executive; material cybersecurity incident; and any event that an investor would reasonably want to know.</w:t>
      </w:r>
    </w:p>
    <w:p>
      <w:pPr>
        <w:pStyle w:val="Heading2"/>
        <w:spacing w:after="150" w:before="300"/>
      </w:pPr>
      <w:r>
        <w:rPr>
          <w:rFonts w:ascii="Georgia" w:cs="Georgia" w:eastAsia="Georgia" w:hAnsi="Georgia"/>
          <w:b/>
          <w:bCs/>
          <w:color w:val="333333"/>
          <w:sz w:val="26"/>
          <w:szCs w:val="26"/>
        </w:rPr>
        <w:t xml:space="preserve">3.4 Regulation FD Compliance</w:t>
      </w:r>
    </w:p>
    <w:p>
      <w:pPr>
        <w:spacing w:after="150" w:before="0"/>
        <w:jc w:val="both"/>
      </w:pPr>
      <w:r>
        <w:rPr>
          <w:rFonts w:ascii="Calibri" w:cs="Calibri" w:eastAsia="Calibri" w:hAnsi="Calibri"/>
          <w:color w:val="333333"/>
          <w:sz w:val="22"/>
          <w:szCs w:val="22"/>
        </w:rPr>
        <w:t xml:space="preserve">[Company Name] shall not selectively disclose MNPI to analysts, institutional investors, or other market professionals. All material disclosures shall be made publicly (via SEC filing, press release, or broadly accessible webcast) before or simultaneously with any communication to selected parties. Authorized spokespersons are limited to: CEO, CFO, and VP Investor Relations. Other employees must not communicate with analysts or investors about company performance or prospects without prior approval.</w:t>
      </w:r>
    </w:p>
    <w:p>
      <w:pPr>
        <w:pStyle w:val="Heading2"/>
        <w:spacing w:after="150" w:before="300"/>
      </w:pPr>
      <w:r>
        <w:rPr>
          <w:rFonts w:ascii="Georgia" w:cs="Georgia" w:eastAsia="Georgia" w:hAnsi="Georgia"/>
          <w:b/>
          <w:bCs/>
          <w:color w:val="333333"/>
          <w:sz w:val="26"/>
          <w:szCs w:val="26"/>
        </w:rPr>
        <w:t xml:space="preserve">3.5 Non-GAAP Measures</w:t>
      </w:r>
    </w:p>
    <w:p>
      <w:pPr>
        <w:spacing w:after="150" w:before="0"/>
        <w:jc w:val="both"/>
      </w:pPr>
      <w:r>
        <w:rPr>
          <w:rFonts w:ascii="Calibri" w:cs="Calibri" w:eastAsia="Calibri" w:hAnsi="Calibri"/>
          <w:color w:val="333333"/>
          <w:sz w:val="22"/>
          <w:szCs w:val="22"/>
        </w:rPr>
        <w:t xml:space="preserve">Non-GAAP financial measures used in public communications shall: be reconciled to the most directly comparable GAAP measure, not give greater prominence to the non-GAAP measure than the GAAP measure, be accompanied by a statement of the reasons why management believes the measure is useful, and not exclude charges or liabilities that require cash settlement. New non-GAAP measures require Disclosure Committee approval.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Certifies DC&amp;P effectiveness (SOX 302). Reviews and approves major disclosures. Sets tone for transparent disclosure.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Chairs the Disclosure Committee. Certifies DC&amp;P effectiveness. Reviews all financial disclosures. Oversees the disclosure process.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materiality and legal disclosure obligations. Reviews SEC filings for legal accuracy. Manages Reg FD 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financial statement content for SEC filings. Reviews financial data in all public communications. Ensures GAAP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VP Investor Relations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investor communications. Drafts earnings releases and investor presentations. Monitors analyst reports for selective disclosure risk.</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SEC Reporting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SEC filings (10-K, 10-Q, 8-K, proxy). Manages the EDGAR filing process. Tracks SEC comment letters.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Committee Members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Attend committee meetings. Evaluate materiality in their functional areas. Identify and escalate disclosure items.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 Employees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Escalate potentially material information per Section 3.3. Comply with trading windows and insider trading policy.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Quarterly Disclosure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Disclosure questionnaire distributed to all department heads and subsidiary controllers [30] days before quarter-end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Responses compiled by the General Counsel and reviewed for potential disclosure items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Disclosure Committee meets to evaluate all potential items: materiality assessment, 8-K determination, MD&amp;A impact, risk factor update, and subsequent events evaluation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Committee recommends disclosure decisions to the CEO and CFO</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SEC filing (10-Q or 10-K) and earnings release drafted incorporating disclosure decisions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Disclosure Committee reviews the draft filing for completeness and accuracy</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CEO and CFO execute SOX 302 and 906 certifications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Filing made on EDGAR; earnings release issued on the wire</w:t>
      </w:r>
    </w:p>
    <w:p>
      <w:pPr>
        <w:pStyle w:val="Heading2"/>
        <w:spacing w:after="150" w:before="300"/>
      </w:pPr>
      <w:r>
        <w:rPr>
          <w:rFonts w:ascii="Georgia" w:cs="Georgia" w:eastAsia="Georgia" w:hAnsi="Georgia"/>
          <w:b/>
          <w:bCs/>
          <w:color w:val="333333"/>
          <w:sz w:val="26"/>
          <w:szCs w:val="26"/>
        </w:rPr>
        <w:t xml:space="preserve">5.2 8-K Current Report Process</w:t>
      </w:r>
    </w:p>
    <w:p>
      <w:pPr>
        <w:spacing w:after="150" w:before="0"/>
        <w:jc w:val="both"/>
      </w:pPr>
      <w:r>
        <w:rPr>
          <w:rFonts w:ascii="Calibri" w:cs="Calibri" w:eastAsia="Calibri" w:hAnsi="Calibri"/>
          <w:color w:val="333333"/>
          <w:sz w:val="22"/>
          <w:szCs w:val="22"/>
        </w:rPr>
        <w:t xml:space="preserve">When an 8-K trigger event occurs, the following process applies: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Event identified and reported to the General Counsel within [24] hours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General Counsel evaluates whether the event requires 8-K disclosure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and CEO notified of the disclosure obligation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8-K drafted by SEC Reporting with input from relevant functional areas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Disclosure Committee reviews (expedited meeting or email approval for time-sensitive events)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CFO approves and authorizes filing</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8-K filed on EDGAR within [4] business days of the trigger event</w:t>
      </w:r>
    </w:p>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Certain 8-K items (executive departure, financial restatement, non-reliance on prior financials) are particularly time-sensitive and may require filing in less than 4 days.</w:t>
      </w:r>
    </w:p>
    <w:p>
      <w:pPr>
        <w:pStyle w:val="Heading2"/>
        <w:spacing w:after="150" w:before="300"/>
      </w:pPr>
      <w:r>
        <w:rPr>
          <w:rFonts w:ascii="Georgia" w:cs="Georgia" w:eastAsia="Georgia" w:hAnsi="Georgia"/>
          <w:b/>
          <w:bCs/>
          <w:color w:val="333333"/>
          <w:sz w:val="26"/>
          <w:szCs w:val="26"/>
        </w:rPr>
        <w:t xml:space="preserve">5.3 Earnings Release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IR drafts the earnings release with CFO and Controller input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Controller validates all financial data in the release against the GL and financial statements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reviews for Reg G compliance (non-GAAP measures), safe harbor language, and Reg FD compliance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Disclosure Committee reviews the final draft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CEO and CFO approve the release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Release issued on the wire simultaneously with or before any investor communication</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Release filed as an 8-K exhibit on EDGAR</w:t>
      </w:r>
    </w:p>
    <w:p>
      <w:pPr>
        <w:pStyle w:val="Heading2"/>
        <w:spacing w:after="150" w:before="300"/>
      </w:pPr>
      <w:r>
        <w:rPr>
          <w:rFonts w:ascii="Georgia" w:cs="Georgia" w:eastAsia="Georgia" w:hAnsi="Georgia"/>
          <w:b/>
          <w:bCs/>
          <w:color w:val="333333"/>
          <w:sz w:val="26"/>
          <w:szCs w:val="26"/>
        </w:rPr>
        <w:t xml:space="preserve">5.4 Disclosure Questionnaire</w:t>
      </w:r>
    </w:p>
    <w:p>
      <w:pPr>
        <w:spacing w:after="150" w:before="0"/>
        <w:jc w:val="both"/>
      </w:pPr>
      <w:r>
        <w:rPr>
          <w:rFonts w:ascii="Calibri" w:cs="Calibri" w:eastAsia="Calibri" w:hAnsi="Calibri"/>
          <w:color w:val="333333"/>
          <w:sz w:val="22"/>
          <w:szCs w:val="22"/>
        </w:rPr>
        <w:t xml:space="preserve">The quarterly disclosure questionnaire covers: new or modified material contracts, pending or threatened litigation, regulatory inquiries or investigations, related party transactions, subsequent events, changes in internal controls, changes in accounting estimates or methods, off-balance sheet arrangements, and any other matter that a reasonable investor would consider important.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Disclosure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SEC filing (10-K, 10-Q)</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 certification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8-K filing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reportable events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(or CEO for executive changes)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Earnings release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 + Disclosure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Investor presentation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IR + Legal review</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non-GAAP measure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Disclosure Committee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Press release with financial content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Social media post with financial content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IR + Legal approval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Analyst/investor meeting script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IR + Legal review</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requirement for Disclosure Committee review of SEC filings and earnings releases. If a potentially material event occurs and the full Disclosure Committee cannot convene, the CFO may make disclosure decisions with General Counsel consultation, followed by Disclosure Committee ratification within [48] hours. Reg FD violations (inadvertent selective disclosure) require immediate public disclosure through a press release or 8-K.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disclosure questionnaire completion rate: 100%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8-K filing timeliness: 100% within 4 business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Committee meeting minutes documented and retained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DC&amp;P effectiveness evaluation supporting the CEO/CFO certification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Reg FD compliance training for authorized spokespersons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 filings made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8-K filings within 4 business days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Disclosure questionnaire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recipients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 FD violations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SEC comment letters received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Minimize; respond within 10 business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Restatements or amendments due to disclosure errors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Insider Trading &amp; Securities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Investor Relations &amp; Reg FD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&amp; Audit Committee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Exchange Act Rules 13a-15, 15d-15</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Sections 302, 906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FD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S-K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Regulation G (Non-GAAP Measures)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Disclosure Questionnaire Summary</w:t>
      </w:r>
    </w:p>
    <w:p>
      <w:pPr>
        <w:spacing w:after="150" w:before="0"/>
        <w:jc w:val="both"/>
      </w:pPr>
      <w:r>
        <w:rPr>
          <w:rFonts w:ascii="Calibri" w:cs="Calibri" w:eastAsia="Calibri" w:hAnsi="Calibri"/>
          <w:color w:val="333333"/>
          <w:sz w:val="22"/>
          <w:szCs w:val="22"/>
        </w:rPr>
        <w:t xml:space="preserve">The questionnaire asks each respondent to identify: new contracts or amendments exceeding [threshold], pending or threatened litigation, regulatory inquiries, changes in key personnel, related party transactions, subsequent events after quarter-end, impairment indicators, changes in accounting methods or estimates, and any other information that could be material.</w:t>
      </w:r>
    </w:p>
    <w:p>
      <w:pPr>
        <w:pStyle w:val="Heading2"/>
        <w:spacing w:after="150" w:before="300"/>
      </w:pPr>
      <w:r>
        <w:rPr>
          <w:rFonts w:ascii="Georgia" w:cs="Georgia" w:eastAsia="Georgia" w:hAnsi="Georgia"/>
          <w:b/>
          <w:bCs/>
          <w:color w:val="333333"/>
          <w:sz w:val="26"/>
          <w:szCs w:val="26"/>
        </w:rPr>
        <w:t xml:space="preserve">Appendix B — 8-K Trigger Event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Item</w:t>
            </w:r>
          </w:p>
        </w:tc>
        <w:tc>
          <w:tcPr>
            <w:tcW w:type="dxa" w:w="6160"/>
            <w:shd w:fill="0C0C0C" w:val="clear"/>
          </w:tcPr>
          <w:p>
            <w:pPr>
              <w:spacing w:after="60" w:before="60"/>
            </w:pPr>
            <w:r>
              <w:rPr>
                <w:rFonts w:ascii="Calibri" w:cs="Calibri" w:eastAsia="Calibri" w:hAnsi="Calibri"/>
                <w:b/>
                <w:bCs/>
                <w:color w:val="D4AF37"/>
                <w:sz w:val="20"/>
                <w:szCs w:val="20"/>
              </w:rPr>
              <w:t xml:space="preserve">Trigger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1.01</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Entry into a material definitive agreement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1.02</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Termination of a material definitive agreement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2.01</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Completion of acquisition or disposition of assets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2.02</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Results of operations and financial condition (earnings)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2.04</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Triggering events that accelerate or increase financial obligation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2.05</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Costs associated with exit or disposal activities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2.06</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Material impairments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4.01</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Changes in registrant's certifying accountant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4.02</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Non-reliance on previously issued financial 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5.02</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Departure/election of directors or principal officers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5.05</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Amendments to articles or bylaws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8.01</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Other events the company considers material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Disclosure Controls &amp; Procedures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2026-07-13T08:08:27.367Z</dcterms:created>
  <dcterms:modified xsi:type="dcterms:W3CDTF">2026-07-13T08:08:27.367Z</dcterms:modified>
</cp:coreProperties>
</file>

<file path=docProps/custom.xml><?xml version="1.0" encoding="utf-8"?>
<Properties xmlns="http://schemas.openxmlformats.org/officeDocument/2006/custom-properties" xmlns:vt="http://schemas.openxmlformats.org/officeDocument/2006/docPropsVTypes"/>
</file>