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Inventory Reserves &amp; Obsolescence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Inventory Reserves and Obsolescence Policy establishes the standards, procedures, and controls governing how [Company Name] evaluates inventory for impairment, establishes reserves for excess and obsolete inventory, and manages the disposition of inventory that no longer meets quality, marketability, or utility standards. The policy ensures compliance with ASC 330 (Inventory) and the lower of cost and net realizable value (LCNRV) requirement.</w:t>
      </w:r>
    </w:p>
    <w:p>
      <w:pPr>
        <w:spacing w:after="150" w:before="0"/>
        <w:jc w:val="both"/>
      </w:pPr>
      <w:r>
        <w:rPr>
          <w:rFonts w:ascii="Calibri" w:cs="Calibri" w:eastAsia="Calibri" w:hAnsi="Calibri"/>
          <w:color w:val="333333"/>
          <w:sz w:val="22"/>
          <w:szCs w:val="22"/>
        </w:rPr>
        <w:t xml:space="preserve">This policy applies to all categories of inventory: raw materials, work-in-progress, finished goods, spare parts, supplies, and consignment inventory. It supplements the Inventory Management &amp; Valuation Policy with specific procedures for reserve estimation and inventory disposition.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Value inventory at the lower of cost and net realizable value per ASC 330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adequate reserves for excess, obsolete, and slow-moving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consistent reserve methodology across all inventory categories and locations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inventory losses through proactive identification and disposition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accurate cost of goods sold and gross margin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clear authorization for inventory scrap, donation, and liquidation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Net Realizable Value (NRV)</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selling price less estimated costs of completion and disposal.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Excess Inventory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Inventory on hand exceeding reasonably anticipated demand over the planning horizon.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Obsolete Inventory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Inventory that can no longer be sold or used due to discontinuation, supersession, damage, or expiration.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Slow-Moving Inventory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Inventory with significantly reduced demand compared to historical consumption patterns.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Inventory Reserve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allowance (contra-asset) reducing inventory carrying value to NRV or estimated realizable value.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Scrap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Inventory that has no recoverable value and must be disposed of through destruction or recycling.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Liquidation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sale of excess or obsolete inventory at reduced prices, often through secondary channels.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Carrying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total cost of holding inventory including storage, insurance, obsolescence risk, and opportunity cost of capital.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Safety Stock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buffer inventory maintained to protect against demand variability and supply chain disruptions.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Dead Stock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Inventory with zero demand for an extended period (typically 12+ months).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LCNRV Assessment</w:t>
      </w:r>
    </w:p>
    <w:p>
      <w:pPr>
        <w:spacing w:after="150" w:before="0"/>
        <w:jc w:val="both"/>
      </w:pPr>
      <w:r>
        <w:rPr>
          <w:rFonts w:ascii="Calibri" w:cs="Calibri" w:eastAsia="Calibri" w:hAnsi="Calibri"/>
          <w:color w:val="333333"/>
          <w:sz w:val="22"/>
          <w:szCs w:val="22"/>
        </w:rPr>
        <w:t xml:space="preserve">[Company Name] shall assess inventory for LCNRV impairment at least quarterly. The assessment shall compare the carrying cost of each inventory category (or individual item for high-value items) to its net realizable value. When NRV is below cost, inventory shall be written down to NRV through an increase in the inventory reserve. LCNRV write-downs shall not be reversed even if NRV subsequently increases.</w:t>
      </w:r>
    </w:p>
    <w:p>
      <w:pPr>
        <w:pStyle w:val="Heading2"/>
        <w:spacing w:after="150" w:before="300"/>
      </w:pPr>
      <w:r>
        <w:rPr>
          <w:rFonts w:ascii="Georgia" w:cs="Georgia" w:eastAsia="Georgia" w:hAnsi="Georgia"/>
          <w:b/>
          <w:bCs/>
          <w:color w:val="333333"/>
          <w:sz w:val="26"/>
          <w:szCs w:val="26"/>
        </w:rPr>
        <w:t xml:space="preserve">3.2 Reserve Methodology</w:t>
      </w:r>
    </w:p>
    <w:p>
      <w:pPr>
        <w:spacing w:after="150" w:before="0"/>
        <w:jc w:val="both"/>
      </w:pPr>
      <w:r>
        <w:rPr>
          <w:rFonts w:ascii="Calibri" w:cs="Calibri" w:eastAsia="Calibri" w:hAnsi="Calibri"/>
          <w:color w:val="333333"/>
          <w:sz w:val="22"/>
          <w:szCs w:val="22"/>
        </w:rPr>
        <w:t xml:space="preserve">[Company Name] shall estimate inventory reserves using a combination of:</w:t>
      </w:r>
    </w:p>
    <w:p>
      <w:pPr>
        <w:pStyle w:val="Heading3"/>
        <w:spacing w:after="100" w:before="200"/>
      </w:pPr>
      <w:r>
        <w:rPr>
          <w:rFonts w:ascii="Georgia" w:cs="Georgia" w:eastAsia="Georgia" w:hAnsi="Georgia"/>
          <w:b/>
          <w:bCs/>
          <w:color w:val="444444"/>
          <w:sz w:val="22"/>
          <w:szCs w:val="22"/>
        </w:rPr>
        <w:t xml:space="preserve">3.2.1 Aging-Based 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Aging Category</w:t>
            </w:r>
          </w:p>
        </w:tc>
        <w:tc>
          <w:tcPr>
            <w:tcW w:type="dxa" w:w="6160"/>
            <w:shd w:fill="0C0C0C" w:val="clear"/>
          </w:tcPr>
          <w:p>
            <w:pPr>
              <w:spacing w:after="60" w:before="60"/>
            </w:pPr>
            <w:r>
              <w:rPr>
                <w:rFonts w:ascii="Calibri" w:cs="Calibri" w:eastAsia="Calibri" w:hAnsi="Calibri"/>
                <w:b/>
                <w:bCs/>
                <w:color w:val="D4AF37"/>
                <w:sz w:val="20"/>
                <w:szCs w:val="20"/>
              </w:rPr>
              <w:t xml:space="preserve">Standard Reserve %</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 (demand within 6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Slow-moving (last sale/usage 6-12 months ago)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Aging (last sale/usage 12-18 months ago)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Stale (last sale/usage 18-24 months ago)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75%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Dead stock (no movement &gt; 24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Reserve percentages are guidelines. The Controller may adjust based on specific circumstances (firm customer orders, product lifecycle analysis, secondary market values).</w:t>
      </w:r>
    </w:p>
    <w:p>
      <w:pPr>
        <w:pStyle w:val="Heading3"/>
        <w:spacing w:after="100" w:before="200"/>
      </w:pPr>
      <w:r>
        <w:rPr>
          <w:rFonts w:ascii="Georgia" w:cs="Georgia" w:eastAsia="Georgia" w:hAnsi="Georgia"/>
          <w:b/>
          <w:bCs/>
          <w:color w:val="444444"/>
          <w:sz w:val="22"/>
          <w:szCs w:val="22"/>
        </w:rPr>
        <w:t xml:space="preserve">3.2.2 Specific Identification Reserve</w:t>
      </w:r>
    </w:p>
    <w:p>
      <w:pPr>
        <w:spacing w:after="150" w:before="0"/>
        <w:jc w:val="both"/>
      </w:pPr>
      <w:r>
        <w:rPr>
          <w:rFonts w:ascii="Calibri" w:cs="Calibri" w:eastAsia="Calibri" w:hAnsi="Calibri"/>
          <w:color w:val="333333"/>
          <w:sz w:val="22"/>
          <w:szCs w:val="22"/>
        </w:rPr>
        <w:t xml:space="preserve">In addition to the aging-based reserve, specific reserves shall be established for: discontinued products (100% reserve unless liquidation plan exists with quantified expected recovery), damaged or defective inventory (reserved at cost less estimated scrap/salvage value), expired or near-expiration inventory (reserved at 100% for expired; estimated recovery for near-expiration), customer-specific inventory with no alternative use (reserved at 100% if the customer relationship is terminated), and inventory subject to recall or regulatory action (reserved at 100% pending resolution).</w:t>
      </w:r>
    </w:p>
    <w:p>
      <w:pPr>
        <w:pStyle w:val="Heading2"/>
        <w:spacing w:after="150" w:before="300"/>
      </w:pPr>
      <w:r>
        <w:rPr>
          <w:rFonts w:ascii="Georgia" w:cs="Georgia" w:eastAsia="Georgia" w:hAnsi="Georgia"/>
          <w:b/>
          <w:bCs/>
          <w:color w:val="333333"/>
          <w:sz w:val="26"/>
          <w:szCs w:val="26"/>
        </w:rPr>
        <w:t xml:space="preserve">3.3 Reserve Review and Approval</w:t>
      </w:r>
    </w:p>
    <w:p>
      <w:pPr>
        <w:spacing w:after="150" w:before="0"/>
        <w:jc w:val="both"/>
      </w:pPr>
      <w:r>
        <w:rPr>
          <w:rFonts w:ascii="Calibri" w:cs="Calibri" w:eastAsia="Calibri" w:hAnsi="Calibri"/>
          <w:color w:val="333333"/>
          <w:sz w:val="22"/>
          <w:szCs w:val="22"/>
        </w:rPr>
        <w:t xml:space="preserve">The inventory reserve calculation shall be prepared by the Cost Accountant, reviewed by the Accounting Manager, and approved by the Controller. Material changes to the reserve methodology or significant individual reserves require CFO approval. The reserve calculation and supporting analysis shall be documented in a reserve memo available for audit review.</w:t>
      </w:r>
    </w:p>
    <w:p>
      <w:pPr>
        <w:pStyle w:val="Heading2"/>
        <w:spacing w:after="150" w:before="300"/>
      </w:pPr>
      <w:r>
        <w:rPr>
          <w:rFonts w:ascii="Georgia" w:cs="Georgia" w:eastAsia="Georgia" w:hAnsi="Georgia"/>
          <w:b/>
          <w:bCs/>
          <w:color w:val="333333"/>
          <w:sz w:val="26"/>
          <w:szCs w:val="26"/>
        </w:rPr>
        <w:t xml:space="preserve">3.4 Inventory Disposition</w:t>
      </w:r>
    </w:p>
    <w:p>
      <w:pPr>
        <w:spacing w:after="150" w:before="0"/>
        <w:jc w:val="both"/>
      </w:pPr>
      <w:r>
        <w:rPr>
          <w:rFonts w:ascii="Calibri" w:cs="Calibri" w:eastAsia="Calibri" w:hAnsi="Calibri"/>
          <w:color w:val="333333"/>
          <w:sz w:val="22"/>
          <w:szCs w:val="22"/>
        </w:rPr>
        <w:t xml:space="preserve">Inventory identified as excess, obsolete, or otherwise impaired shall be actively managed for disposition rather than indefinitely warehoused. Disposition options include: sale through normal channels at reduced pricing, sale through liquidation channels (secondary market, brokers, auction), donation to qualified nonprofit organizations (with tax deduction consideration), return to vendor (if return rights exist), and scrap/destruction (when no other option is viable).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material reserve changes and significant write-downs. Reviews inventory metrics.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reserve methodology. Approves quarterly reserve calculations. Reviews LCNRV assessments.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the quarterly reserve calculation. Maintains the inventory aging analysis. Records reserve adjustments.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Supply Chain / Purchasing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demand forecasts. Identifies excess inventory positions. Coordinates vendor returns.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 Product Management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demand outlook for slow-moving products. Identifies discontinued products. Supports liquidation pricing.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Identifies damaged, defective, and expired inventory. Authorizes disposition of quality-failed inventory.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Warehouse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Segregates reserved inventory. Executes disposition (scrap, ship to liquidator). Provides physical inventory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Advises on tax treatment of inventory write-downs, scrap, and donations. Ensures proper documentation for tax deductions.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Quarterly Reserve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Cost Accountant generates the inventory aging report from the ERP</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Cost Accountant applies the aging-based reserve percentages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Cost Accountant reviews with Supply Chain for specific identification items (discontinued, excess, damaged)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Cost Accountant prepares the NRV assessment for major categories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Cost Accountant calculates total required reserve: aging-based + specific identification + LCNRV adjustments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Cost Accountant prepares the reserve memo with methodology, assumptions, and comparison to prior quarter</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reviews and approves; CFO reviews if material change</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Journal entry recorded: Dr. COGS or inventory loss / Cr. Inventory reserve</w:t>
      </w:r>
    </w:p>
    <w:p>
      <w:pPr>
        <w:pStyle w:val="Heading2"/>
        <w:spacing w:after="150" w:before="300"/>
      </w:pPr>
      <w:r>
        <w:rPr>
          <w:rFonts w:ascii="Georgia" w:cs="Georgia" w:eastAsia="Georgia" w:hAnsi="Georgia"/>
          <w:b/>
          <w:bCs/>
          <w:color w:val="333333"/>
          <w:sz w:val="26"/>
          <w:szCs w:val="26"/>
        </w:rPr>
        <w:t xml:space="preserve">5.2 Disposition Procedures</w:t>
      </w:r>
    </w:p>
    <w:p>
      <w:pPr>
        <w:pStyle w:val="Heading3"/>
        <w:spacing w:after="100" w:before="200"/>
      </w:pPr>
      <w:r>
        <w:rPr>
          <w:rFonts w:ascii="Georgia" w:cs="Georgia" w:eastAsia="Georgia" w:hAnsi="Georgia"/>
          <w:b/>
          <w:bCs/>
          <w:color w:val="444444"/>
          <w:sz w:val="22"/>
          <w:szCs w:val="22"/>
        </w:rPr>
        <w:t xml:space="preserve">5.2.1 Liquidation</w:t>
      </w:r>
    </w:p>
    <w:p>
      <w:pPr>
        <w:spacing w:after="150" w:before="0"/>
        <w:jc w:val="both"/>
      </w:pPr>
      <w:r>
        <w:rPr>
          <w:rFonts w:ascii="Calibri" w:cs="Calibri" w:eastAsia="Calibri" w:hAnsi="Calibri"/>
          <w:color w:val="333333"/>
          <w:sz w:val="22"/>
          <w:szCs w:val="22"/>
        </w:rPr>
        <w:t xml:space="preserve">Excess inventory available for sale through secondary channels shall be: valued at estimated liquidation price (typically [20-50%] of original cost), marketed through approved liquidation channels (brokers, auction platforms, outlet sales), sold only to parties that will not compete with [Company Name]'s primary sales channels (no unauthorized resellers in primary markets), and documented with sales records and comparison to the reserve estimate.</w:t>
      </w:r>
    </w:p>
    <w:p>
      <w:pPr>
        <w:pStyle w:val="Heading3"/>
        <w:spacing w:after="100" w:before="200"/>
      </w:pPr>
      <w:r>
        <w:rPr>
          <w:rFonts w:ascii="Georgia" w:cs="Georgia" w:eastAsia="Georgia" w:hAnsi="Georgia"/>
          <w:b/>
          <w:bCs/>
          <w:color w:val="444444"/>
          <w:sz w:val="22"/>
          <w:szCs w:val="22"/>
        </w:rPr>
        <w:t xml:space="preserve">5.2.2 Scrap</w:t>
      </w:r>
    </w:p>
    <w:p>
      <w:pPr>
        <w:spacing w:after="150" w:before="0"/>
        <w:jc w:val="both"/>
      </w:pPr>
      <w:r>
        <w:rPr>
          <w:rFonts w:ascii="Calibri" w:cs="Calibri" w:eastAsia="Calibri" w:hAnsi="Calibri"/>
          <w:color w:val="333333"/>
          <w:sz w:val="22"/>
          <w:szCs w:val="22"/>
        </w:rPr>
        <w:t xml:space="preserve">Inventory approved for scrap shall be: physically segregated from saleable inventory, documented on a scrap authorization form with approval per Section 6, destroyed under dual observation (two employees), and recorded as a reduction of inventory and the corresponding reserve (or direct charge to COGS if not previously reserved).</w:t>
      </w:r>
    </w:p>
    <w:p>
      <w:pPr>
        <w:pStyle w:val="Heading3"/>
        <w:spacing w:after="100" w:before="200"/>
      </w:pPr>
      <w:r>
        <w:rPr>
          <w:rFonts w:ascii="Georgia" w:cs="Georgia" w:eastAsia="Georgia" w:hAnsi="Georgia"/>
          <w:b/>
          <w:bCs/>
          <w:color w:val="444444"/>
          <w:sz w:val="22"/>
          <w:szCs w:val="22"/>
        </w:rPr>
        <w:t xml:space="preserve">5.2.3 Donation</w:t>
      </w:r>
    </w:p>
    <w:p>
      <w:pPr>
        <w:spacing w:after="150" w:before="0"/>
        <w:jc w:val="both"/>
      </w:pPr>
      <w:r>
        <w:rPr>
          <w:rFonts w:ascii="Calibri" w:cs="Calibri" w:eastAsia="Calibri" w:hAnsi="Calibri"/>
          <w:color w:val="333333"/>
          <w:sz w:val="22"/>
          <w:szCs w:val="22"/>
        </w:rPr>
        <w:t xml:space="preserve">Inventory donated to qualifying nonprofits shall be: valued at fair market value for the tax deduction, documented with written acknowledgment from the recipient, and reported to Tax for inclusion in the charitable contribution deduction.</w:t>
      </w:r>
    </w:p>
    <w:p>
      <w:pPr>
        <w:pStyle w:val="Heading2"/>
        <w:spacing w:after="150" w:before="300"/>
      </w:pPr>
      <w:r>
        <w:rPr>
          <w:rFonts w:ascii="Georgia" w:cs="Georgia" w:eastAsia="Georgia" w:hAnsi="Georgia"/>
          <w:b/>
          <w:bCs/>
          <w:color w:val="333333"/>
          <w:sz w:val="26"/>
          <w:szCs w:val="26"/>
        </w:rPr>
        <w:t xml:space="preserve">5.3 Monitoring and Prevention</w:t>
      </w:r>
    </w:p>
    <w:p>
      <w:pPr>
        <w:pStyle w:val="Heading3"/>
        <w:spacing w:after="100" w:before="200"/>
      </w:pPr>
      <w:r>
        <w:rPr>
          <w:rFonts w:ascii="Georgia" w:cs="Georgia" w:eastAsia="Georgia" w:hAnsi="Georgia"/>
          <w:b/>
          <w:bCs/>
          <w:color w:val="444444"/>
          <w:sz w:val="22"/>
          <w:szCs w:val="22"/>
        </w:rPr>
        <w:t xml:space="preserve">5.3.1 Demand-Supply Alignment</w:t>
      </w:r>
    </w:p>
    <w:p>
      <w:pPr>
        <w:spacing w:after="150" w:before="0"/>
        <w:jc w:val="both"/>
      </w:pPr>
      <w:r>
        <w:rPr>
          <w:rFonts w:ascii="Calibri" w:cs="Calibri" w:eastAsia="Calibri" w:hAnsi="Calibri"/>
          <w:color w:val="333333"/>
          <w:sz w:val="22"/>
          <w:szCs w:val="22"/>
        </w:rPr>
        <w:t xml:space="preserve">Supply Chain shall implement processes to minimize excess inventory accumulation: demand forecasting integrated with procurement decisions, minimum order quantities reviewed annually for continued appropriateness, safety stock levels calibrated to actual demand variability, and end-of-life planning beginning [6] months before product discontinuation.</w:t>
      </w:r>
    </w:p>
    <w:p>
      <w:pPr>
        <w:pStyle w:val="Heading3"/>
        <w:spacing w:after="100" w:before="200"/>
      </w:pPr>
      <w:r>
        <w:rPr>
          <w:rFonts w:ascii="Georgia" w:cs="Georgia" w:eastAsia="Georgia" w:hAnsi="Georgia"/>
          <w:b/>
          <w:bCs/>
          <w:color w:val="444444"/>
          <w:sz w:val="22"/>
          <w:szCs w:val="22"/>
        </w:rPr>
        <w:t xml:space="preserve">5.3.2 Excess Inventory Alerts</w:t>
      </w:r>
    </w:p>
    <w:p>
      <w:pPr>
        <w:spacing w:after="150" w:before="0"/>
        <w:jc w:val="both"/>
      </w:pPr>
      <w:r>
        <w:rPr>
          <w:rFonts w:ascii="Calibri" w:cs="Calibri" w:eastAsia="Calibri" w:hAnsi="Calibri"/>
          <w:color w:val="333333"/>
          <w:sz w:val="22"/>
          <w:szCs w:val="22"/>
        </w:rPr>
        <w:t xml:space="preserve">The ERP system shall generate automated alerts when: inventory on hand exceeds [X] months of forecasted demand, no usage activity has occurred for [6] months, and purchase orders would push inventory above the maximum stocking level.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Quarterly reserve adjustment (within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Specific identification reserve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Specific identification reserve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Scrap authorization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Warehouse Manager + Cost Accountant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Scrap authorization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$10K –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Scrap authorization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Liquidation sale (below standard margin)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Sales VP</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Inventory donation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Tax review</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the standard reserve percentages require Controller approval with documented rationale (e.g., firm customer purchase order supporting a lower reserve for aged inventory). If actual inventory losses materially exceed the estimated reserve for two consecutive quarters, the reserve methodology shall be reviewed and recalibrated. Significant unexpected inventory losses shall be escalated to the CFO and may require interim financial statement disclosure.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inventory aging report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reserve calculation and LCNRV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comparison of actual write-offs to reserve estimates (backtesting)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reserve methodology and standard percentages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physical inventory observation including reserved and quarantined items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Inventory reserve as % of gross inventory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 ([X-Y%] range)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Reserve adequacy (actual losses vs. prior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[20%]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Dead stock inventory (&gt;24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Declining trend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Disposition cycle time (identification to resolution)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[90]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Scrap as % of COGS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Management &amp; Valuation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 (bill-and-hold, consignment)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Charitable Contributions &amp; Sponsorship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330,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Impairment of Long-Lived Assets (if inventory is part of an asset group)</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Inventory Reserve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Category</w:t>
            </w:r>
          </w:p>
        </w:tc>
        <w:tc>
          <w:tcPr>
            <w:tcW w:type="dxa" w:w="2400"/>
            <w:shd w:fill="0C0C0C" w:val="clear"/>
          </w:tcPr>
          <w:p>
            <w:pPr>
              <w:spacing w:after="60" w:before="60"/>
            </w:pPr>
            <w:r>
              <w:rPr>
                <w:rFonts w:ascii="Calibri" w:cs="Calibri" w:eastAsia="Calibri" w:hAnsi="Calibri"/>
                <w:b/>
                <w:bCs/>
                <w:color w:val="D4AF37"/>
                <w:sz w:val="20"/>
                <w:szCs w:val="20"/>
              </w:rPr>
              <w:t xml:space="preserve">Gross Inventory</w:t>
            </w:r>
          </w:p>
        </w:tc>
        <w:tc>
          <w:tcPr>
            <w:tcW w:type="dxa" w:w="4560"/>
            <w:shd w:fill="0C0C0C" w:val="clear"/>
          </w:tcPr>
          <w:p>
            <w:pPr>
              <w:spacing w:after="60" w:before="60"/>
            </w:pPr>
            <w:r>
              <w:rPr>
                <w:rFonts w:ascii="Calibri" w:cs="Calibri" w:eastAsia="Calibri" w:hAnsi="Calibri"/>
                <w:b/>
                <w:bCs/>
                <w:color w:val="D4AF37"/>
                <w:sz w:val="20"/>
                <w:szCs w:val="20"/>
              </w:rPr>
              <w:t xml:space="preserve">Aging Reserve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Raw Materials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Finished Goods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Spare Parts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Total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Scrap Authorization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Item / SKU</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Part number and description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Quantity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Number of units to be scrapped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carrying cost of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Reserve status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Previously reserved? Amount reserved?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Reason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Obsolete / damaged / expired / quality reject / other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Disposition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Destroy / recycle / sell as scrap material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Witnesses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Two employee names who will observe destruction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approval matrix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Inventory Reserves &amp; Obsolescence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2026-07-13T08:08:27.313Z</dcterms:created>
  <dcterms:modified xsi:type="dcterms:W3CDTF">2026-07-13T08:08:27.313Z</dcterms:modified>
</cp:coreProperties>
</file>

<file path=docProps/custom.xml><?xml version="1.0" encoding="utf-8"?>
<Properties xmlns="http://schemas.openxmlformats.org/officeDocument/2006/custom-properties" xmlns:vt="http://schemas.openxmlformats.org/officeDocument/2006/docPropsVTypes"/>
</file>