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Revenue Operations &amp; Billing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Revenue Operations and Billing Policy establishes the standards, procedures, and controls governing [Company Name]'s billing processes, invoice generation, revenue operations workflows, and the handoff between contract execution and cash collection. The policy ensures accurate and timely invoicing, alignment between billing and revenue recognition, and efficient order-to-cash operations.</w:t>
      </w:r>
    </w:p>
    <w:p>
      <w:pPr>
        <w:spacing w:after="150" w:before="0"/>
        <w:jc w:val="both"/>
      </w:pPr>
      <w:r>
        <w:rPr>
          <w:rFonts w:ascii="Calibri" w:cs="Calibri" w:eastAsia="Calibri" w:hAnsi="Calibri"/>
          <w:color w:val="333333"/>
          <w:sz w:val="22"/>
          <w:szCs w:val="22"/>
        </w:rPr>
        <w:t xml:space="preserve">This policy applies to all billing activities across all revenue streams: product sales, subscription/SaaS billing, professional services, licensing, and any other revenue-generating activity. It governs the entire billing lifecycle from order acceptance through invoice delivery.</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Generate accurate invoices reflecting contractual terms within [X] business days of the billing trigger event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alignment between billing, revenue recognition, and cash collection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Minimize billing errors that delay collections and damage customer relationships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proper segregation between sales, billing, revenue accounting, and collections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multiple billing models: one-time, recurring, milestone, usage-based, and hybrid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tax invoicing requirements across all jurisdictions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Billing Trigger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event that initiates invoice generation (shipment, service delivery, contract execution, milestone completion, period 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Invoice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commercial document requesting payment for goods or services delivered per contractual terms.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Credit Memo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document reducing the amount owed by a customer, issued for returns, pricing errors, or service credits.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Debit Memo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document increasing the amount owed by a customer, issued for additional charges or corrections.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Billing Schedule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documented plan specifying when invoices will be generated for a contract (aligned to payment terms and milestones).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Revenue Operations (RevOps)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cross-functional discipline aligning sales, marketing, and customer success operations with finance processes.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Order-to-Cash (O2C)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end-to-end process from customer order through billing, collection, and cash application.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Dunning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of systematically communicating with customers about overdue payments.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Self-Service Portal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customer-facing platform where customers can view invoices, make payments, and manage their account.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Electronic Invoice (e-Invoice)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invoice transmitted electronically in a structured data format per regulatory requirements.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Billing Timeliness</w:t>
      </w:r>
    </w:p>
    <w:p>
      <w:pPr>
        <w:spacing w:after="150" w:before="0"/>
        <w:jc w:val="both"/>
      </w:pPr>
      <w:r>
        <w:rPr>
          <w:rFonts w:ascii="Calibri" w:cs="Calibri" w:eastAsia="Calibri" w:hAnsi="Calibri"/>
          <w:color w:val="333333"/>
          <w:sz w:val="22"/>
          <w:szCs w:val="22"/>
        </w:rPr>
        <w:t xml:space="preserve">Invoices shall be generated within the following timeframes after the billing trigger event: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Revenue Type</w:t>
            </w:r>
          </w:p>
        </w:tc>
        <w:tc>
          <w:tcPr>
            <w:tcW w:type="dxa" w:w="6160"/>
            <w:shd w:fill="0C0C0C" w:val="clear"/>
          </w:tcPr>
          <w:p>
            <w:pPr>
              <w:spacing w:after="60" w:before="60"/>
            </w:pPr>
            <w:r>
              <w:rPr>
                <w:rFonts w:ascii="Calibri" w:cs="Calibri" w:eastAsia="Calibri" w:hAnsi="Calibri"/>
                <w:b/>
                <w:bCs/>
                <w:color w:val="D4AF37"/>
                <w:sz w:val="20"/>
                <w:szCs w:val="20"/>
              </w:rPr>
              <w:t xml:space="preserve">Billing Timeline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Product shipment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Same day or next business day after shipment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Subscription / SaaS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First day of the billing period (monthly, quarterly, annually)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Professional services (T&amp;M)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[5] business days of period 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Professional services (milestone)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[3] business days of milestone acceptance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License delivery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Upon delivery or contract execution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Usage-based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[5] business days of usage period end</w:t>
            </w:r>
          </w:p>
        </w:tc>
      </w:tr>
    </w:tbl>
    <w:p>
      <w:pPr>
        <w:pStyle w:val="Heading2"/>
        <w:spacing w:after="150" w:before="300"/>
      </w:pPr>
      <w:r>
        <w:rPr>
          <w:rFonts w:ascii="Georgia" w:cs="Georgia" w:eastAsia="Georgia" w:hAnsi="Georgia"/>
          <w:b/>
          <w:bCs/>
          <w:color w:val="333333"/>
          <w:sz w:val="26"/>
          <w:szCs w:val="26"/>
        </w:rPr>
        <w:t xml:space="preserve">3.2 Invoice Accuracy</w:t>
      </w:r>
    </w:p>
    <w:p>
      <w:pPr>
        <w:spacing w:after="150" w:before="0"/>
        <w:jc w:val="both"/>
      </w:pPr>
      <w:r>
        <w:rPr>
          <w:rFonts w:ascii="Calibri" w:cs="Calibri" w:eastAsia="Calibri" w:hAnsi="Calibri"/>
          <w:color w:val="333333"/>
          <w:sz w:val="22"/>
          <w:szCs w:val="22"/>
        </w:rPr>
        <w:t xml:space="preserve">Every invoice shall accurately reflect: the customer's legal name and billing address, the correct PO number (if required by the customer), itemized products or services per the contract, pricing per the executed agreement (including any discounts), applicable taxes calculated per the Sales Tax Policy, payment terms per the contract, and [Company Name]'s remittance information.</w:t>
      </w:r>
    </w:p>
    <w:p>
      <w:pPr>
        <w:pStyle w:val="Heading2"/>
        <w:spacing w:after="150" w:before="300"/>
      </w:pPr>
      <w:r>
        <w:rPr>
          <w:rFonts w:ascii="Georgia" w:cs="Georgia" w:eastAsia="Georgia" w:hAnsi="Georgia"/>
          <w:b/>
          <w:bCs/>
          <w:color w:val="333333"/>
          <w:sz w:val="26"/>
          <w:szCs w:val="26"/>
        </w:rPr>
        <w:t xml:space="preserve">3.3 Billing and Revenue Alignment</w:t>
      </w:r>
    </w:p>
    <w:p>
      <w:pPr>
        <w:spacing w:after="150" w:before="0"/>
        <w:jc w:val="both"/>
      </w:pPr>
      <w:r>
        <w:rPr>
          <w:rFonts w:ascii="Calibri" w:cs="Calibri" w:eastAsia="Calibri" w:hAnsi="Calibri"/>
          <w:color w:val="333333"/>
          <w:sz w:val="22"/>
          <w:szCs w:val="22"/>
        </w:rPr>
        <w:t xml:space="preserve">Billing amounts may differ from revenue recognition amounts (e.g., annual upfront billing for a subscription recognized ratably). The Controller shall ensure that: billing schedules are documented and reconciled to revenue recognition schedules, contract assets (unbilled revenue) and contract liabilities (deferred revenue) are properly recorded, and the billing-to-revenue reconciliation is completed monthly.</w:t>
      </w:r>
    </w:p>
    <w:p>
      <w:pPr>
        <w:pStyle w:val="Heading2"/>
        <w:spacing w:after="150" w:before="300"/>
      </w:pPr>
      <w:r>
        <w:rPr>
          <w:rFonts w:ascii="Georgia" w:cs="Georgia" w:eastAsia="Georgia" w:hAnsi="Georgia"/>
          <w:b/>
          <w:bCs/>
          <w:color w:val="333333"/>
          <w:sz w:val="26"/>
          <w:szCs w:val="26"/>
        </w:rPr>
        <w:t xml:space="preserve">3.4 Credit Memo Controls</w:t>
      </w:r>
    </w:p>
    <w:p>
      <w:pPr>
        <w:spacing w:after="150" w:before="0"/>
        <w:jc w:val="both"/>
      </w:pPr>
      <w:r>
        <w:rPr>
          <w:rFonts w:ascii="Calibri" w:cs="Calibri" w:eastAsia="Calibri" w:hAnsi="Calibri"/>
          <w:color w:val="333333"/>
          <w:sz w:val="22"/>
          <w:szCs w:val="22"/>
        </w:rPr>
        <w:t xml:space="preserve">Credit memos shall be issued only for legitimate business reasons: billing errors, pricing discrepancies, service level credits, returns, or contractual adjustments. Credit memos require approval per the authority matrix in Section 6. Credit memos cannot be used to circumvent the collections process or to write off receivables (write-offs follow the AR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O2C process. Approves billing policy changes. Reviews billing KPIs.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billing aligns with revenue recognition. Reviews deferred revenue and unbilled AR. Approves material credit memos.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Operations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billing team and billing system. Monitors billing accuracy and timeliness. Resolves billing disputes.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Billing Specialist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Generates invoices per the billing schedule. Processes credit and debit memos. Responds to customer billing inquiries.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Sales / Account Management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Communicates contract terms to billing. Provides PO numbers and billing contacts. Supports billing dispute resolution.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Configures tax rules in the billing system. Reviews tax invoicing compliance. Monitors tax rate changes.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 / Collections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Follows up on unpaid invoices. Manages customer payment inquiries. Applies cash receipts.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the billing system and integrations. Supports billing automation. Manages the customer portal.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Contract-to-Billing Setup</w:t>
      </w:r>
    </w:p>
    <w:p>
      <w:pPr>
        <w:pStyle w:val="Heading3"/>
        <w:spacing w:after="100" w:before="200"/>
      </w:pPr>
      <w:r>
        <w:rPr>
          <w:rFonts w:ascii="Georgia" w:cs="Georgia" w:eastAsia="Georgia" w:hAnsi="Georgia"/>
          <w:b/>
          <w:bCs/>
          <w:color w:val="444444"/>
          <w:sz w:val="22"/>
          <w:szCs w:val="22"/>
        </w:rPr>
        <w:t xml:space="preserve">5.1.1 New Contract Setup</w:t>
      </w:r>
    </w:p>
    <w:p>
      <w:pPr>
        <w:spacing w:after="150" w:before="0"/>
        <w:jc w:val="both"/>
      </w:pPr>
      <w:r>
        <w:rPr>
          <w:rFonts w:ascii="Calibri" w:cs="Calibri" w:eastAsia="Calibri" w:hAnsi="Calibri"/>
          <w:color w:val="333333"/>
          <w:sz w:val="22"/>
          <w:szCs w:val="22"/>
        </w:rPr>
        <w:t xml:space="preserve">Upon contract execution, the following billing setup steps shall be completed within [2] business days: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Sales submits the executed contract to Revenue Operations with the billing setup form</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RevOps verifies contract terms: billing frequency, payment terms, pricing, taxes, and special instructions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RevOps creates the billing schedule in [billing system] aligned to contract terms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Revenue Accounting reviews the billing schedule for alignment with the revenue recognition schedule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First invoice is generated per the billing timeline in Section 3.1</w:t>
      </w:r>
    </w:p>
    <w:p>
      <w:pPr>
        <w:pStyle w:val="Heading3"/>
        <w:spacing w:after="100" w:before="200"/>
      </w:pPr>
      <w:r>
        <w:rPr>
          <w:rFonts w:ascii="Georgia" w:cs="Georgia" w:eastAsia="Georgia" w:hAnsi="Georgia"/>
          <w:b/>
          <w:bCs/>
          <w:color w:val="444444"/>
          <w:sz w:val="22"/>
          <w:szCs w:val="22"/>
        </w:rPr>
        <w:t xml:space="preserve">5.1.2 Contract Modifications</w:t>
      </w:r>
    </w:p>
    <w:p>
      <w:pPr>
        <w:spacing w:after="150" w:before="0"/>
        <w:jc w:val="both"/>
      </w:pPr>
      <w:r>
        <w:rPr>
          <w:rFonts w:ascii="Calibri" w:cs="Calibri" w:eastAsia="Calibri" w:hAnsi="Calibri"/>
          <w:color w:val="333333"/>
          <w:sz w:val="22"/>
          <w:szCs w:val="22"/>
        </w:rPr>
        <w:t xml:space="preserve">When a contract is amended, the billing schedule shall be updated within [2] business days. Amendments that change pricing, scope, or billing frequency require both Sales confirmation and Revenue Accounting review before the billing schedule is modified.</w:t>
      </w:r>
    </w:p>
    <w:p>
      <w:pPr>
        <w:pStyle w:val="Heading2"/>
        <w:spacing w:after="150" w:before="300"/>
      </w:pPr>
      <w:r>
        <w:rPr>
          <w:rFonts w:ascii="Georgia" w:cs="Georgia" w:eastAsia="Georgia" w:hAnsi="Georgia"/>
          <w:b/>
          <w:bCs/>
          <w:color w:val="333333"/>
          <w:sz w:val="26"/>
          <w:szCs w:val="26"/>
        </w:rPr>
        <w:t xml:space="preserve">5.2 Invoice Generation and Delivery</w:t>
      </w:r>
    </w:p>
    <w:p>
      <w:pPr>
        <w:pStyle w:val="Heading3"/>
        <w:spacing w:after="100" w:before="200"/>
      </w:pPr>
      <w:r>
        <w:rPr>
          <w:rFonts w:ascii="Georgia" w:cs="Georgia" w:eastAsia="Georgia" w:hAnsi="Georgia"/>
          <w:b/>
          <w:bCs/>
          <w:color w:val="444444"/>
          <w:sz w:val="22"/>
          <w:szCs w:val="22"/>
        </w:rPr>
        <w:t xml:space="preserve">5.2.1 Automated Billing</w:t>
      </w:r>
    </w:p>
    <w:p>
      <w:pPr>
        <w:spacing w:after="150" w:before="0"/>
        <w:jc w:val="both"/>
      </w:pPr>
      <w:r>
        <w:rPr>
          <w:rFonts w:ascii="Calibri" w:cs="Calibri" w:eastAsia="Calibri" w:hAnsi="Calibri"/>
          <w:color w:val="333333"/>
          <w:sz w:val="22"/>
          <w:szCs w:val="22"/>
        </w:rPr>
        <w:t xml:space="preserve">Recurring invoices (subscriptions, retainers, fixed-fee services) shall be generated automatically by the billing system per the billing schedule. Automated invoices shall be reviewed by exception: the Billing Specialist reviews the automated run for errors, unusual amounts, and failed generations before invoice delivery.</w:t>
      </w:r>
    </w:p>
    <w:p>
      <w:pPr>
        <w:pStyle w:val="Heading3"/>
        <w:spacing w:after="100" w:before="200"/>
      </w:pPr>
      <w:r>
        <w:rPr>
          <w:rFonts w:ascii="Georgia" w:cs="Georgia" w:eastAsia="Georgia" w:hAnsi="Georgia"/>
          <w:b/>
          <w:bCs/>
          <w:color w:val="444444"/>
          <w:sz w:val="22"/>
          <w:szCs w:val="22"/>
        </w:rPr>
        <w:t xml:space="preserve">5.2.2 Manual Billing</w:t>
      </w:r>
    </w:p>
    <w:p>
      <w:pPr>
        <w:spacing w:after="150" w:before="0"/>
        <w:jc w:val="both"/>
      </w:pPr>
      <w:r>
        <w:rPr>
          <w:rFonts w:ascii="Calibri" w:cs="Calibri" w:eastAsia="Calibri" w:hAnsi="Calibri"/>
          <w:color w:val="333333"/>
          <w:sz w:val="22"/>
          <w:szCs w:val="22"/>
        </w:rPr>
        <w:t xml:space="preserve">Non-recurring invoices (milestone billing, one-time sales, T&amp;M services) require manual generation. The Billing Specialist shall: verify the billing trigger has occurred (shipment confirmed, milestone accepted, time approved), calculate the invoice amount per contract terms, apply applicable taxes, and route for review before delivery.</w:t>
      </w:r>
    </w:p>
    <w:p>
      <w:pPr>
        <w:pStyle w:val="Heading3"/>
        <w:spacing w:after="100" w:before="200"/>
      </w:pPr>
      <w:r>
        <w:rPr>
          <w:rFonts w:ascii="Georgia" w:cs="Georgia" w:eastAsia="Georgia" w:hAnsi="Georgia"/>
          <w:b/>
          <w:bCs/>
          <w:color w:val="444444"/>
          <w:sz w:val="22"/>
          <w:szCs w:val="22"/>
        </w:rPr>
        <w:t xml:space="preserve">5.2.3 Invoice Delivery</w:t>
      </w:r>
    </w:p>
    <w:p>
      <w:pPr>
        <w:spacing w:after="150" w:before="0"/>
        <w:jc w:val="both"/>
      </w:pPr>
      <w:r>
        <w:rPr>
          <w:rFonts w:ascii="Calibri" w:cs="Calibri" w:eastAsia="Calibri" w:hAnsi="Calibri"/>
          <w:color w:val="333333"/>
          <w:sz w:val="22"/>
          <w:szCs w:val="22"/>
        </w:rPr>
        <w:t xml:space="preserve">Invoices shall be delivered through the customer's preferred channel: email (default), customer self-service portal, electronic data interchange (EDI) for large enterprise customers, e-invoicing platforms where mandated by regulation, and physical mail (only when electronic delivery is not accepted).</w:t>
      </w:r>
    </w:p>
    <w:p>
      <w:pPr>
        <w:pStyle w:val="Heading2"/>
        <w:spacing w:after="150" w:before="300"/>
      </w:pPr>
      <w:r>
        <w:rPr>
          <w:rFonts w:ascii="Georgia" w:cs="Georgia" w:eastAsia="Georgia" w:hAnsi="Georgia"/>
          <w:b/>
          <w:bCs/>
          <w:color w:val="333333"/>
          <w:sz w:val="26"/>
          <w:szCs w:val="26"/>
        </w:rPr>
        <w:t xml:space="preserve">5.3 Billing Reconciliation</w:t>
      </w:r>
    </w:p>
    <w:p>
      <w:pPr>
        <w:pStyle w:val="Heading3"/>
        <w:spacing w:after="100" w:before="200"/>
      </w:pPr>
      <w:r>
        <w:rPr>
          <w:rFonts w:ascii="Georgia" w:cs="Georgia" w:eastAsia="Georgia" w:hAnsi="Georgia"/>
          <w:b/>
          <w:bCs/>
          <w:color w:val="444444"/>
          <w:sz w:val="22"/>
          <w:szCs w:val="22"/>
        </w:rPr>
        <w:t xml:space="preserve">5.3.1 Monthly Billing-to-Revenue Reconciliation</w:t>
      </w:r>
    </w:p>
    <w:p>
      <w:pPr>
        <w:spacing w:after="150" w:before="0"/>
        <w:jc w:val="both"/>
      </w:pPr>
      <w:r>
        <w:rPr>
          <w:rFonts w:ascii="Calibri" w:cs="Calibri" w:eastAsia="Calibri" w:hAnsi="Calibri"/>
          <w:color w:val="333333"/>
          <w:sz w:val="22"/>
          <w:szCs w:val="22"/>
        </w:rPr>
        <w:t xml:space="preserve">The Controller shall ensure a monthly reconciliation of: total invoiced amounts vs. total recognized revenue (with explanation of timing differences), contract asset (unbilled revenue) rollforward, contract liability (deferred revenue) rollforward, and credit memo activity vs. revenue adjustments.</w:t>
      </w:r>
    </w:p>
    <w:p>
      <w:pPr>
        <w:pStyle w:val="Heading3"/>
        <w:spacing w:after="100" w:before="200"/>
      </w:pPr>
      <w:r>
        <w:rPr>
          <w:rFonts w:ascii="Georgia" w:cs="Georgia" w:eastAsia="Georgia" w:hAnsi="Georgia"/>
          <w:b/>
          <w:bCs/>
          <w:color w:val="444444"/>
          <w:sz w:val="22"/>
          <w:szCs w:val="22"/>
        </w:rPr>
        <w:t xml:space="preserve">5.3.2 Billing System-to-GL Reconciliation</w:t>
      </w:r>
    </w:p>
    <w:p>
      <w:pPr>
        <w:spacing w:after="150" w:before="0"/>
        <w:jc w:val="both"/>
      </w:pPr>
      <w:r>
        <w:rPr>
          <w:rFonts w:ascii="Calibri" w:cs="Calibri" w:eastAsia="Calibri" w:hAnsi="Calibri"/>
          <w:color w:val="333333"/>
          <w:sz w:val="22"/>
          <w:szCs w:val="22"/>
        </w:rPr>
        <w:t xml:space="preserve">The billing sub-ledger shall be reconciled to the GL control accounts within [3] business days of month-end. Reconciling items shall be investigated and resolved within [15] days.</w:t>
      </w:r>
    </w:p>
    <w:p>
      <w:pPr>
        <w:pStyle w:val="Heading2"/>
        <w:spacing w:after="150" w:before="300"/>
      </w:pPr>
      <w:r>
        <w:rPr>
          <w:rFonts w:ascii="Georgia" w:cs="Georgia" w:eastAsia="Georgia" w:hAnsi="Georgia"/>
          <w:b/>
          <w:bCs/>
          <w:color w:val="333333"/>
          <w:sz w:val="26"/>
          <w:szCs w:val="26"/>
        </w:rPr>
        <w:t xml:space="preserve">5.4 Billing Dispute Resolution</w:t>
      </w:r>
    </w:p>
    <w:p>
      <w:pPr>
        <w:spacing w:after="150" w:before="0"/>
        <w:jc w:val="both"/>
      </w:pPr>
      <w:r>
        <w:rPr>
          <w:rFonts w:ascii="Calibri" w:cs="Calibri" w:eastAsia="Calibri" w:hAnsi="Calibri"/>
          <w:color w:val="333333"/>
          <w:sz w:val="22"/>
          <w:szCs w:val="22"/>
        </w:rPr>
        <w:t xml:space="preserve">Customer billing disputes shall be: logged in [system] with categorization (pricing, quantity, tax, PO, duplicate, other), assigned to a responsible owner within [1] business day, resolved within [15] business days (target), escalated to the Revenue Operations Manager if unresolved after [15] days, and tracked for root cause analysis to prevent recurrence. The top dispute categories shall be reported monthly to the Controller.</w:t>
      </w:r>
    </w:p>
    <w:p>
      <w:pPr>
        <w:pStyle w:val="Heading2"/>
        <w:spacing w:after="150" w:before="300"/>
      </w:pPr>
      <w:r>
        <w:rPr>
          <w:rFonts w:ascii="Georgia" w:cs="Georgia" w:eastAsia="Georgia" w:hAnsi="Georgia"/>
          <w:b/>
          <w:bCs/>
          <w:color w:val="333333"/>
          <w:sz w:val="26"/>
          <w:szCs w:val="26"/>
        </w:rPr>
        <w:t xml:space="preserve">5.5 Usage-Based and Consumption Billing</w:t>
      </w:r>
    </w:p>
    <w:p>
      <w:pPr>
        <w:spacing w:after="150" w:before="0"/>
        <w:jc w:val="both"/>
      </w:pPr>
      <w:r>
        <w:rPr>
          <w:rFonts w:ascii="Calibri" w:cs="Calibri" w:eastAsia="Calibri" w:hAnsi="Calibri"/>
          <w:color w:val="333333"/>
          <w:sz w:val="22"/>
          <w:szCs w:val="22"/>
        </w:rPr>
        <w:t xml:space="preserve">For usage-based billing models, the following additional procedures apply: usage data shall be collected from [metering system] with automated feed to the billing system, usage data shall be validated for completeness and accuracy before billing, customers shall have access to real-time usage dashboards through the self-service portal, rated usage shall be reviewed by RevOps before invoice generation, and disputes related to usage measurement shall be investigated with metering system logs.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Billing 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Standard invoice generation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Per billing schedule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Billing Specialist (automated or manual)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Credit memo</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RevOps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Credit memo</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$5,000 – $50,000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Credit memo</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Billing schedule modification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RevOps Manager + Revenue Accounting</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Write-off of billing dispute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AR Policy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Per AR Policy approval matrix</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billing model setup</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RevOps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Customer billing term exception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Non-standard terms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Billing exceptions (invoicing outside standard terms, billing before the trigger event, or billing without a fully executed contract) require Controller approval. Persistent billing errors affecting the same customer or same revenue type shall be escalated to the RevOps Manager for root cause analysis and process improvement. Billing disputes that cannot be resolved between the Billing Specialist and the customer within [30] days shall be escalated to the Controller and Sales leadership.</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billing run completion monitoring (automated alerts for failures)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Weekly billing accuracy review (sample of invoices vs. contract terms)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billing-to-revenue reconciliation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dispute aging and resolution rate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credit memo trend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billing process audit by Internal Audit</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Invoice generation within timeline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[98%+]</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Billing accuracy rate (no corrections needed)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[99%+]</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Credit memo rate (% of total billing)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[2%]</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Billing dispute resolution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[15] business days average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Billing-to-GL reconciliation by Day 3</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DSO impact from billing delays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Quantified and trending downward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Receivable &amp; Credit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Sales Tax &amp; Indirect Tax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Customer Contract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 Revenue from Contracts with Customers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Billing Setup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name and billing contact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Legal name, billing address, contact email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Contract reference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Contract number and execution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Billing frequency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One-time / monthly / quarterly / annually / milestone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Billing amount and currency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Amount per period or per milestone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Payment terms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Net 30 / Net 60 / other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 requirement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Yes/No; PO number if required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treatment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Taxable / exempt (with certificate reference)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Special billing instructions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customer-specific requirements</w:t>
            </w:r>
          </w:p>
        </w:tc>
      </w:tr>
    </w:tbl>
    <w:p>
      <w:pPr>
        <w:pStyle w:val="Heading2"/>
        <w:spacing w:after="150" w:before="300"/>
      </w:pPr>
      <w:r>
        <w:rPr>
          <w:rFonts w:ascii="Georgia" w:cs="Georgia" w:eastAsia="Georgia" w:hAnsi="Georgia"/>
          <w:b/>
          <w:bCs/>
          <w:color w:val="333333"/>
          <w:sz w:val="26"/>
          <w:szCs w:val="26"/>
        </w:rPr>
        <w:t xml:space="preserve">Appendix B — Credit Memo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and invoice reference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Customer name, original invoice number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Credit amount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Dollar amount of the credit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Reason code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Billing error / pricing dispute / SLA credit / return / other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Justification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Detailed explanation of why the credit is warranted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impact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Does this credit affect recognized revenue? (Accounting review required if yes)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 approval matrix</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Revenue Operations &amp; Billing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2026-07-13T08:08:26.744Z</dcterms:created>
  <dcterms:modified xsi:type="dcterms:W3CDTF">2026-07-13T08:08:26.759Z</dcterms:modified>
</cp:coreProperties>
</file>

<file path=docProps/custom.xml><?xml version="1.0" encoding="utf-8"?>
<Properties xmlns="http://schemas.openxmlformats.org/officeDocument/2006/custom-properties" xmlns:vt="http://schemas.openxmlformats.org/officeDocument/2006/docPropsVTypes"/>
</file>