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Capital Allocation &amp; CapEx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Capital Allocation and Capital Expenditure Policy establishes the framework for allocating capital across competing investment opportunities at [Company Name]. The policy ensures that capital is deployed to maximize long-term shareholder value, investments are evaluated using consistent financial criteria, and the capital budget is managed within Board-approved parameters.</w:t>
      </w:r>
    </w:p>
    <w:p>
      <w:pPr>
        <w:spacing w:after="150" w:before="0"/>
        <w:jc w:val="both"/>
      </w:pPr>
      <w:r>
        <w:rPr>
          <w:rFonts w:ascii="Calibri" w:cs="Calibri" w:eastAsia="Calibri" w:hAnsi="Calibri"/>
          <w:color w:val="333333"/>
          <w:sz w:val="22"/>
          <w:szCs w:val="22"/>
        </w:rPr>
        <w:t xml:space="preserve">This policy applies to all capital allocation decisions including: organic capital expenditures (property, equipment, technology, leasehold improvements), inorganic investments (M&amp;A, minority investments), R&amp;D investment, working capital investment, dividend payments and share repurchases, and debt repayment.</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Allocate capital to the highest-returning opportunities consistent with strategic priorities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consistent evaluation criteria for all capital investment proposals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capital discipline through rigorous business case requirements and post-investment tracking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Balance growth investment with shareholder return and balance sheet strength</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debt covenant restrictions on capital expenditures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Provide visibility into the capital pipeline for cash flow planning</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Capital Allocation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process of distributing financial resources among competing investment opportunities.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Capital Expenditure (CapEx)</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investment in long-lived assets that will provide economic benefit beyond one year and meets the capitalization threshold.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Maintenance CapEx</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Investment required to maintain existing assets in their current productive capacity.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Growth CapEx</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Investment intended to expand capacity, enter new markets, or develop new capabilities.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Return on Invested Capital (ROIC)</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Net operating profit after tax divided by invested capital; measures how efficiently capital generates returns.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 Rate of Return (IRR)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discount rate at which the net present value of an investment equals zero.</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Payback Period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time required for an investment to generate enough cash flow to recover the initial outlay.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Hurdle Rate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minimum required rate of return for an investment to be approved (typically WACC plus a risk premium).</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Capital Rationing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practice of limiting total capital investment to a budget constraint, requiring prioritization among projects.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Post-Investment Review (PIR)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formal assessment comparing actual investment results to the original business case projections.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Capital Allocation Framework</w:t>
      </w:r>
    </w:p>
    <w:p>
      <w:pPr>
        <w:spacing w:after="150" w:before="0"/>
        <w:jc w:val="both"/>
      </w:pPr>
      <w:r>
        <w:rPr>
          <w:rFonts w:ascii="Calibri" w:cs="Calibri" w:eastAsia="Calibri" w:hAnsi="Calibri"/>
          <w:color w:val="333333"/>
          <w:sz w:val="22"/>
          <w:szCs w:val="22"/>
        </w:rPr>
        <w:t xml:space="preserve">[Company Name] shall allocate capital across the following categories in order of priority:</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Mandatory and compliance — regulatory requirements, safety, environmental, and legal obligations</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Maintenance and sustaining — maintaining existing assets and operations at current productivity</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Strategic growth — organic investments that advance the strategic plan (new products, markets, capabilities)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Inorganic growth — M&amp;A and strategic investments (per the M&amp;A &amp; Corporate Development Policy)</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Shareholder returns — dividends and share repurchases when excess capital exists</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Debt reduction — when leverage exceeds target levels or when interest savings exceed growth returns</w:t>
      </w:r>
    </w:p>
    <w:p>
      <w:pPr>
        <w:pStyle w:val="Heading2"/>
        <w:spacing w:after="150" w:before="300"/>
      </w:pPr>
      <w:r>
        <w:rPr>
          <w:rFonts w:ascii="Georgia" w:cs="Georgia" w:eastAsia="Georgia" w:hAnsi="Georgia"/>
          <w:b/>
          <w:bCs/>
          <w:color w:val="333333"/>
          <w:sz w:val="26"/>
          <w:szCs w:val="26"/>
        </w:rPr>
        <w:t xml:space="preserve">3.2 Financial Evaluation Standards</w:t>
      </w:r>
    </w:p>
    <w:p>
      <w:pPr>
        <w:spacing w:after="150" w:before="0"/>
        <w:jc w:val="both"/>
      </w:pPr>
      <w:r>
        <w:rPr>
          <w:rFonts w:ascii="Calibri" w:cs="Calibri" w:eastAsia="Calibri" w:hAnsi="Calibri"/>
          <w:color w:val="333333"/>
          <w:sz w:val="22"/>
          <w:szCs w:val="22"/>
        </w:rPr>
        <w:t xml:space="preserve">All capital investment proposals exceeding [threshold] shall include: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Requirement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Net Present Value (NPV)</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Must be positive at the hurdle rate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 Rate of Return (IRR)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Must exceed the hurdle rate of [X%]</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Payback Period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Must be less than [X] years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ROIC Impact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Must be accretive to company-wide ROIC within [X] years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Risk Assessment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Identification of key risks and probability-weighted scenarios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Sensitivity Analysis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NPV sensitivity to the 3-5 most impactful assumptions</w:t>
            </w:r>
          </w:p>
        </w:tc>
      </w:tr>
    </w:tbl>
    <w:p>
      <w:pPr>
        <w:pStyle w:val="Heading2"/>
        <w:spacing w:after="150" w:before="300"/>
      </w:pPr>
      <w:r>
        <w:rPr>
          <w:rFonts w:ascii="Georgia" w:cs="Georgia" w:eastAsia="Georgia" w:hAnsi="Georgia"/>
          <w:b/>
          <w:bCs/>
          <w:color w:val="333333"/>
          <w:sz w:val="26"/>
          <w:szCs w:val="26"/>
        </w:rPr>
        <w:t xml:space="preserve">3.3 Annual Capital Budget</w:t>
      </w:r>
    </w:p>
    <w:p>
      <w:pPr>
        <w:spacing w:after="150" w:before="0"/>
        <w:jc w:val="both"/>
      </w:pPr>
      <w:r>
        <w:rPr>
          <w:rFonts w:ascii="Calibri" w:cs="Calibri" w:eastAsia="Calibri" w:hAnsi="Calibri"/>
          <w:color w:val="333333"/>
          <w:sz w:val="22"/>
          <w:szCs w:val="22"/>
        </w:rPr>
        <w:t xml:space="preserve">The CFO shall propose an annual capital budget as part of the planning process. The capital budget shall: align with the strategic plan and LRP, comply with debt covenant restrictions on capital expenditures, include a contingency reserve of [10-15%] for unplanned opportunities, distinguish between maintenance and growth CapEx, and be approved by the Board as part of the annual budget.</w:t>
      </w:r>
    </w:p>
    <w:p>
      <w:pPr>
        <w:pStyle w:val="Heading2"/>
        <w:spacing w:after="150" w:before="300"/>
      </w:pPr>
      <w:r>
        <w:rPr>
          <w:rFonts w:ascii="Georgia" w:cs="Georgia" w:eastAsia="Georgia" w:hAnsi="Georgia"/>
          <w:b/>
          <w:bCs/>
          <w:color w:val="333333"/>
          <w:sz w:val="26"/>
          <w:szCs w:val="26"/>
        </w:rPr>
        <w:t xml:space="preserve">3.4 Post-Investment Review</w:t>
      </w:r>
    </w:p>
    <w:p>
      <w:pPr>
        <w:spacing w:after="150" w:before="0"/>
        <w:jc w:val="both"/>
      </w:pPr>
      <w:r>
        <w:rPr>
          <w:rFonts w:ascii="Calibri" w:cs="Calibri" w:eastAsia="Calibri" w:hAnsi="Calibri"/>
          <w:color w:val="333333"/>
          <w:sz w:val="22"/>
          <w:szCs w:val="22"/>
        </w:rPr>
        <w:t xml:space="preserve">All capital investments exceeding [threshold] shall undergo a post-investment review at [12] and [24] months after completion. The PIR shall compare actual results to the original business case and document: actual vs. projected costs, actual vs. projected benefits and returns, lessons learned for future capital allocation decisions, and corrective actions if the investment is underperforming.</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Board of Directors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the annual capital budget. Approves individual projects exceeding [threshold]. Reviews capital allocation strategy.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CEO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Sets strategic priorities guiding capital allocation. Approves projects within delegated authority.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the capital allocation process. Evaluates business cases. Monitors capital spending vs. budget. Reports to the Board.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FP&amp;A</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Builds financial models for capital investment proposals. Performs sensitivity analysis. Tracks actual vs. projected returns.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Department Heads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Submit capital requests with business cases. Manage project implementation. Report on project status and outcomes.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capitalization treatment per the Fixed Asset Policy. Monitors capital spending vs. budget at the GL level.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Procurement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the procurement process for capital assets. Negotiates vendor terms. Coordinates delivery and installation.</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Capital Request Process</w:t>
      </w:r>
    </w:p>
    <w:p>
      <w:pPr>
        <w:pStyle w:val="Heading3"/>
        <w:spacing w:after="100" w:before="200"/>
      </w:pPr>
      <w:r>
        <w:rPr>
          <w:rFonts w:ascii="Georgia" w:cs="Georgia" w:eastAsia="Georgia" w:hAnsi="Georgia"/>
          <w:b/>
          <w:bCs/>
          <w:color w:val="444444"/>
          <w:sz w:val="22"/>
          <w:szCs w:val="22"/>
        </w:rPr>
        <w:t xml:space="preserve">5.1.1 Business Case Requirements</w:t>
      </w:r>
    </w:p>
    <w:p>
      <w:pPr>
        <w:spacing w:after="150" w:before="0"/>
        <w:jc w:val="both"/>
      </w:pPr>
      <w:r>
        <w:rPr>
          <w:rFonts w:ascii="Calibri" w:cs="Calibri" w:eastAsia="Calibri" w:hAnsi="Calibri"/>
          <w:color w:val="333333"/>
          <w:sz w:val="22"/>
          <w:szCs w:val="22"/>
        </w:rPr>
        <w:t xml:space="preserve">Capital investment proposals shall include: project description and strategic alignment, total investment required (all costs including implementation, training, and contingency), financial analysis (NPV, IRR, payback, ROIC impact), risk assessment and mitigation plan, implementation timeline and milestones, alternatives considered and rationale for the recommended option, and impact on operating expenses (incremental staffing, maintenance, licensing).</w:t>
      </w:r>
    </w:p>
    <w:p>
      <w:pPr>
        <w:pStyle w:val="Heading3"/>
        <w:spacing w:after="100" w:before="200"/>
      </w:pPr>
      <w:r>
        <w:rPr>
          <w:rFonts w:ascii="Georgia" w:cs="Georgia" w:eastAsia="Georgia" w:hAnsi="Georgia"/>
          <w:b/>
          <w:bCs/>
          <w:color w:val="444444"/>
          <w:sz w:val="22"/>
          <w:szCs w:val="22"/>
        </w:rPr>
        <w:t xml:space="preserve">5.1.2 Approval Process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Requestor prepares the capital request with FP&amp;A support</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Department head reviews and endorses the request</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FP&amp;A validates the financial analysis and provides an independent assessment</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CFO reviews and approves (within delegated authority) or recommends to the Board</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Board reviews and approves projects exceeding [threshold]</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Approved projects are entered into the capital project tracking system</w:t>
      </w:r>
    </w:p>
    <w:p>
      <w:pPr>
        <w:pStyle w:val="Heading2"/>
        <w:spacing w:after="150" w:before="300"/>
      </w:pPr>
      <w:r>
        <w:rPr>
          <w:rFonts w:ascii="Georgia" w:cs="Georgia" w:eastAsia="Georgia" w:hAnsi="Georgia"/>
          <w:b/>
          <w:bCs/>
          <w:color w:val="333333"/>
          <w:sz w:val="26"/>
          <w:szCs w:val="26"/>
        </w:rPr>
        <w:t xml:space="preserve">5.2 Capital Budget Management</w:t>
      </w:r>
    </w:p>
    <w:p>
      <w:pPr>
        <w:pStyle w:val="Heading3"/>
        <w:spacing w:after="100" w:before="200"/>
      </w:pPr>
      <w:r>
        <w:rPr>
          <w:rFonts w:ascii="Georgia" w:cs="Georgia" w:eastAsia="Georgia" w:hAnsi="Georgia"/>
          <w:b/>
          <w:bCs/>
          <w:color w:val="444444"/>
          <w:sz w:val="22"/>
          <w:szCs w:val="22"/>
        </w:rPr>
        <w:t xml:space="preserve">5.2.1 Budget Tracking</w:t>
      </w:r>
    </w:p>
    <w:p>
      <w:pPr>
        <w:spacing w:after="150" w:before="0"/>
        <w:jc w:val="both"/>
      </w:pPr>
      <w:r>
        <w:rPr>
          <w:rFonts w:ascii="Calibri" w:cs="Calibri" w:eastAsia="Calibri" w:hAnsi="Calibri"/>
          <w:color w:val="333333"/>
          <w:sz w:val="22"/>
          <w:szCs w:val="22"/>
        </w:rPr>
        <w:t xml:space="preserve">The CFO shall track capital spending monthly against the approved budget: total CapEx vs. annual budget, spending by category (maintenance vs. growth), spending by project (actual vs. approved), and forecast of full-year CapEx (committed, forecasted, and contingency). Material variances (&gt;10% over budget for individual projects or &gt;5% for total CapEx) shall be reported to the Board.</w:t>
      </w:r>
    </w:p>
    <w:p>
      <w:pPr>
        <w:pStyle w:val="Heading3"/>
        <w:spacing w:after="100" w:before="200"/>
      </w:pPr>
      <w:r>
        <w:rPr>
          <w:rFonts w:ascii="Georgia" w:cs="Georgia" w:eastAsia="Georgia" w:hAnsi="Georgia"/>
          <w:b/>
          <w:bCs/>
          <w:color w:val="444444"/>
          <w:sz w:val="22"/>
          <w:szCs w:val="22"/>
        </w:rPr>
        <w:t xml:space="preserve">5.2.2 Budget Reallocation</w:t>
      </w:r>
    </w:p>
    <w:p>
      <w:pPr>
        <w:spacing w:after="150" w:before="0"/>
        <w:jc w:val="both"/>
      </w:pPr>
      <w:r>
        <w:rPr>
          <w:rFonts w:ascii="Calibri" w:cs="Calibri" w:eastAsia="Calibri" w:hAnsi="Calibri"/>
          <w:color w:val="333333"/>
          <w:sz w:val="22"/>
          <w:szCs w:val="22"/>
        </w:rPr>
        <w:t xml:space="preserve">Reallocation of capital between approved projects requires CFO approval. Requests for capital above the approved annual budget require Board approval. Urgent capital needs arising outside the budget cycle may use the contingency reserve with CFO approval and Board notification.</w:t>
      </w:r>
    </w:p>
    <w:p>
      <w:pPr>
        <w:pStyle w:val="Heading2"/>
        <w:spacing w:after="150" w:before="300"/>
      </w:pPr>
      <w:r>
        <w:rPr>
          <w:rFonts w:ascii="Georgia" w:cs="Georgia" w:eastAsia="Georgia" w:hAnsi="Georgia"/>
          <w:b/>
          <w:bCs/>
          <w:color w:val="333333"/>
          <w:sz w:val="26"/>
          <w:szCs w:val="26"/>
        </w:rPr>
        <w:t xml:space="preserve">5.3 Project Implementation</w:t>
      </w:r>
    </w:p>
    <w:p>
      <w:pPr>
        <w:spacing w:after="150" w:before="0"/>
        <w:jc w:val="both"/>
      </w:pPr>
      <w:r>
        <w:rPr>
          <w:rFonts w:ascii="Calibri" w:cs="Calibri" w:eastAsia="Calibri" w:hAnsi="Calibri"/>
          <w:color w:val="333333"/>
          <w:sz w:val="22"/>
          <w:szCs w:val="22"/>
        </w:rPr>
        <w:t xml:space="preserve">Approved capital projects shall be managed with: a designated project manager responsible for delivery on time and on budget, milestone tracking against the implementation plan, monthly status reports to the CFO for projects exceeding [threshold], change control procedures for scope or budget modifications, and completion and go-live sign-off before the project is considered complete and transferred from CIP to fixed assets.</w:t>
      </w:r>
    </w:p>
    <w:p>
      <w:pPr>
        <w:pStyle w:val="Heading2"/>
        <w:spacing w:after="150" w:before="300"/>
      </w:pPr>
      <w:r>
        <w:rPr>
          <w:rFonts w:ascii="Georgia" w:cs="Georgia" w:eastAsia="Georgia" w:hAnsi="Georgia"/>
          <w:b/>
          <w:bCs/>
          <w:color w:val="333333"/>
          <w:sz w:val="26"/>
          <w:szCs w:val="26"/>
        </w:rPr>
        <w:t xml:space="preserve">5.4 Post-Investment Review</w:t>
      </w:r>
    </w:p>
    <w:p>
      <w:pPr>
        <w:spacing w:after="150" w:before="0"/>
        <w:jc w:val="both"/>
      </w:pPr>
      <w:r>
        <w:rPr>
          <w:rFonts w:ascii="Calibri" w:cs="Calibri" w:eastAsia="Calibri" w:hAnsi="Calibri"/>
          <w:color w:val="333333"/>
          <w:sz w:val="22"/>
          <w:szCs w:val="22"/>
        </w:rPr>
        <w:t xml:space="preserve">PIRs shall be conducted by FP&amp;A with input from the project sponsor: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Compare actual project cost to approved budget (identify and explain variances)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Compare actual benefits to projected benefits (revenue, cost savings, productivity)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Calculate actual IRR and payback period vs. projections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Document lessons learned (what worked, what did not, what to do differently)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Determine whether additional investment or corrective action is needed</w:t>
      </w:r>
    </w:p>
    <w:p>
      <w:pPr>
        <w:spacing w:after="150" w:before="0"/>
        <w:jc w:val="both"/>
      </w:pPr>
      <w:r>
        <w:rPr>
          <w:rFonts w:ascii="Calibri" w:cs="Calibri" w:eastAsia="Calibri" w:hAnsi="Calibri"/>
          <w:color w:val="333333"/>
          <w:sz w:val="22"/>
          <w:szCs w:val="22"/>
        </w:rPr>
        <w:t xml:space="preserve">PIR results shall be presented to the CFO and reported to the Board annually as part of the capital allocation review.</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CapEx Amount</w:t>
            </w:r>
          </w:p>
        </w:tc>
        <w:tc>
          <w:tcPr>
            <w:tcW w:type="dxa" w:w="2400"/>
            <w:shd w:fill="0C0C0C" w:val="clear"/>
          </w:tcPr>
          <w:p>
            <w:pPr>
              <w:spacing w:after="60" w:before="60"/>
            </w:pPr>
            <w:r>
              <w:rPr>
                <w:rFonts w:ascii="Calibri" w:cs="Calibri" w:eastAsia="Calibri" w:hAnsi="Calibri"/>
                <w:b/>
                <w:bCs/>
                <w:color w:val="D4AF37"/>
                <w:sz w:val="20"/>
                <w:szCs w:val="20"/>
              </w:rPr>
              <w:t xml:space="preserve">Required Approvals</w:t>
            </w:r>
          </w:p>
        </w:tc>
        <w:tc>
          <w:tcPr>
            <w:tcW w:type="dxa" w:w="4560"/>
            <w:shd w:fill="0C0C0C" w:val="clear"/>
          </w:tcPr>
          <w:p>
            <w:pPr>
              <w:spacing w:after="60" w:before="60"/>
            </w:pPr>
            <w:r>
              <w:rPr>
                <w:rFonts w:ascii="Calibri" w:cs="Calibri" w:eastAsia="Calibri" w:hAnsi="Calibri"/>
                <w:b/>
                <w:bCs/>
                <w:color w:val="D4AF37"/>
                <w:sz w:val="20"/>
                <w:szCs w:val="20"/>
              </w:rPr>
              <w:t xml:space="preserve">Additional Requirements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&lt; $25,000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Department Manager</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Budget availability confirmation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$25,000 – $100,000</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VP + Controller</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Written business justification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$100,000 – $500,000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Full business case with NPV/IRR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$500,000 – $2,000,000</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CFO + CEO</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Board information item</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&gt; $2,000,000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Board approval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Full investment analysis + sensitivity</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Unbudgeted (contingency)</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Per above + contingency justification</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for &lt; $500K; Board for &gt; $500K</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Emergency capital expenditures (equipment failure, safety, regulatory compliance) may be approved outside the normal process with CFO approval for amounts up to [threshold] and CEO + CFO approval above [threshold]. Emergency approvals shall be documented within [48] hours and reported to the Board at the next meeting. The contingency reserve should cover most emergencies; if exhausted, additional Board approval is required.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CapEx spending vs. budget tracking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capital project status review with CFO</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post-investment review for all projects exceeding [threshold]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capital allocation strategy review with Board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Debt covenant compliance monitoring for CapEx limitations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Total CapEx vs. budget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[5%]</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Individual project cost vs. approved budget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Within [10%]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PIR: actual IRR vs. projected IRR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[200] bps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Capital project on-time completion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[80%+]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ROIC (company-wide)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Above hurdle rate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Growth CapEx as % of total CapEx</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[40-60%] (strategic range)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Fixed Asset &amp; Capitalization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M&amp;A &amp; Corporate Development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Budget &amp; Financial Planning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Delegation of Authority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Debt &amp; Covenant Compliance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Procurement &amp; Purchasing Policy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Capital Request Form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Project Name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Descriptive name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Requestor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and department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Strategic Alignment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Which strategic priority this supports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Total Investment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All-in cost including contingency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NPV</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At the company hurdle rate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IRR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Expected return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Payback Period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Months to recover investment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Alternatives Considered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At least one alternative evaluated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Risk Assessment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Top 3 risks and mitigation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Timeline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Start date, milestones, completion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Approvals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Per the approval matrix</w:t>
            </w:r>
          </w:p>
        </w:tc>
      </w:tr>
    </w:tbl>
    <w:p>
      <w:pPr>
        <w:pStyle w:val="Heading2"/>
        <w:spacing w:after="150" w:before="300"/>
      </w:pPr>
      <w:r>
        <w:rPr>
          <w:rFonts w:ascii="Georgia" w:cs="Georgia" w:eastAsia="Georgia" w:hAnsi="Georgia"/>
          <w:b/>
          <w:bCs/>
          <w:color w:val="333333"/>
          <w:sz w:val="26"/>
          <w:szCs w:val="26"/>
        </w:rPr>
        <w:t xml:space="preserve">Appendix B — Post-Investment Review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Section</w:t>
            </w:r>
          </w:p>
        </w:tc>
        <w:tc>
          <w:tcPr>
            <w:tcW w:type="dxa" w:w="6160"/>
            <w:shd w:fill="0C0C0C" w:val="clear"/>
          </w:tcPr>
          <w:p>
            <w:pPr>
              <w:spacing w:after="60" w:before="60"/>
            </w:pPr>
            <w:r>
              <w:rPr>
                <w:rFonts w:ascii="Calibri" w:cs="Calibri" w:eastAsia="Calibri" w:hAnsi="Calibri"/>
                <w:b/>
                <w:bCs/>
                <w:color w:val="D4AF37"/>
                <w:sz w:val="20"/>
                <w:szCs w:val="20"/>
              </w:rPr>
              <w:t xml:space="preserve">Content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Project Summary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Original objective and investment amount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Cost Performance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Actual vs. approved budget with variance explanation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Benefit Realization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Actual vs. projected benefits (quantified)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Financial Returns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Actual IRR, payback vs. projections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Lessons Learned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What worked, what did not, recommendations for future projects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Ongoing Actions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Any corrective actions or additional investment needed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Capital Allocation &amp; CapEx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2026-07-13T07:58:31.317Z</dcterms:created>
  <dcterms:modified xsi:type="dcterms:W3CDTF">2026-07-13T07:58:31.317Z</dcterms:modified>
</cp:coreProperties>
</file>

<file path=docProps/custom.xml><?xml version="1.0" encoding="utf-8"?>
<Properties xmlns="http://schemas.openxmlformats.org/officeDocument/2006/custom-properties" xmlns:vt="http://schemas.openxmlformats.org/officeDocument/2006/docPropsVTypes"/>
</file>