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M&amp;A &amp; Corporate Development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M&amp;A and Corporate Development Policy establishes the standards, procedures, and governance framework for evaluating, executing, and integrating mergers, acquisitions, divestitures, joint ventures, and strategic investments at [Company Name]. The policy ensures that corporate development activities create shareholder value, follow a disciplined evaluation process, and are integrated effectively.</w:t>
      </w:r>
    </w:p>
    <w:p>
      <w:pPr>
        <w:spacing w:after="150" w:before="0"/>
        <w:jc w:val="both"/>
      </w:pPr>
      <w:r>
        <w:rPr>
          <w:rFonts w:ascii="Calibri" w:cs="Calibri" w:eastAsia="Calibri" w:hAnsi="Calibri"/>
          <w:color w:val="333333"/>
          <w:sz w:val="22"/>
          <w:szCs w:val="22"/>
        </w:rPr>
        <w:t xml:space="preserve">This policy applies to all corporate development activities including: acquisitions (asset or stock purchases), mergers, divestitures and carve-outs, joint ventures and strategic partnerships, minority equity investments, and licensing and technology acquisition transactions.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all M&amp;A activities align with [Company Name]'s strategic plan and value creation thesis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a disciplined evaluation framework preventing value-destroying transactions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Define clear approval authorities and governance for each stage of a transaction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thorough due diligence across financial, legal, operational, and cultural dimensions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integration planning standards that protect deal value post-close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Comply with all legal, regulatory, and securities requirements for corporate transactions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Letter of Intent (LOI)</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non-binding document outlining the principal terms of a proposed transaction.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Due Diligence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comprehensive investigation of a target company's financial, legal, operational, and commercial condition.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Enterprise Value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total value of a business, typically calculated as equity value plus net debt.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EBITDA Multiple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Enterprise value divided by EBITDA, the most common valuation metric for private company acquisitions.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Synergy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additional value created by combining two entities that would not exist in either entity standalone.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Earnout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contingent payment structure where a portion of the purchase price is paid based on post-close performance.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Representation &amp; Warranty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Statements of fact by the seller about the target company's condition, forming the basis for indemnification.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Integration Management Office (IMO)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dedicated team responsible for managing post-close integration activities.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Carve-Out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separation of a business unit or subsidiary from [Company Name] for sale or spin-off.</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Accretion / Dilution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impact of an acquisition on [Company Name]'s earnings per share (accretive = EPS increases, dilutive = EPS decreases).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Strategic Alignment</w:t>
      </w:r>
    </w:p>
    <w:p>
      <w:pPr>
        <w:spacing w:after="150" w:before="0"/>
        <w:jc w:val="both"/>
      </w:pPr>
      <w:r>
        <w:rPr>
          <w:rFonts w:ascii="Calibri" w:cs="Calibri" w:eastAsia="Calibri" w:hAnsi="Calibri"/>
          <w:color w:val="333333"/>
          <w:sz w:val="22"/>
          <w:szCs w:val="22"/>
        </w:rPr>
        <w:t xml:space="preserve">All M&amp;A activities must be linked to [Company Name]'s strategic plan. Acceptable strategic rationales include: market expansion (new geographies, customer segments, or channels), product or capability enhancement, technology acquisition, talent acquisition (acqui-hire), competitive positioning (market share, scale), and vertical integration (supply chain control). Financial engineering alone (buying revenue or cost cutting without strategic logic) is not an acceptable rationale.</w:t>
      </w:r>
    </w:p>
    <w:p>
      <w:pPr>
        <w:pStyle w:val="Heading2"/>
        <w:spacing w:after="150" w:before="300"/>
      </w:pPr>
      <w:r>
        <w:rPr>
          <w:rFonts w:ascii="Georgia" w:cs="Georgia" w:eastAsia="Georgia" w:hAnsi="Georgia"/>
          <w:b/>
          <w:bCs/>
          <w:color w:val="333333"/>
          <w:sz w:val="26"/>
          <w:szCs w:val="26"/>
        </w:rPr>
        <w:t xml:space="preserve">3.2 Financial Discipline</w:t>
      </w:r>
    </w:p>
    <w:p>
      <w:pPr>
        <w:spacing w:after="150" w:before="0"/>
        <w:jc w:val="both"/>
      </w:pPr>
      <w:r>
        <w:rPr>
          <w:rFonts w:ascii="Calibri" w:cs="Calibri" w:eastAsia="Calibri" w:hAnsi="Calibri"/>
          <w:color w:val="333333"/>
          <w:sz w:val="22"/>
          <w:szCs w:val="22"/>
        </w:rPr>
        <w:t xml:space="preserve">Transactions shall meet the following financial standards: target IRR exceeding [Company Name]'s weighted average cost of capital by at least [300] basis points, clear path to EPS accretion within [24] months (or strategic justification for longer timelines), synergies supported by bottom-up analysis with identified actions and owners, and valuation supported by multiple methodologies (comparable companies, comparable transactions, DCF, LBO if applicable).</w:t>
      </w:r>
    </w:p>
    <w:p>
      <w:pPr>
        <w:pStyle w:val="Heading2"/>
        <w:spacing w:after="150" w:before="300"/>
      </w:pPr>
      <w:r>
        <w:rPr>
          <w:rFonts w:ascii="Georgia" w:cs="Georgia" w:eastAsia="Georgia" w:hAnsi="Georgia"/>
          <w:b/>
          <w:bCs/>
          <w:color w:val="333333"/>
          <w:sz w:val="26"/>
          <w:szCs w:val="26"/>
        </w:rPr>
        <w:t xml:space="preserve">3.3 Stage-Gate Process</w:t>
      </w:r>
    </w:p>
    <w:p>
      <w:pPr>
        <w:spacing w:after="150" w:before="0"/>
        <w:jc w:val="both"/>
      </w:pPr>
      <w:r>
        <w:rPr>
          <w:rFonts w:ascii="Calibri" w:cs="Calibri" w:eastAsia="Calibri" w:hAnsi="Calibri"/>
          <w:color w:val="333333"/>
          <w:sz w:val="22"/>
          <w:szCs w:val="22"/>
        </w:rPr>
        <w:t xml:space="preserve">[Company Name] shall follow a stage-gate process for all transactions: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Stage</w:t>
            </w:r>
          </w:p>
        </w:tc>
        <w:tc>
          <w:tcPr>
            <w:tcW w:type="dxa" w:w="6160"/>
            <w:shd w:fill="0C0C0C" w:val="clear"/>
          </w:tcPr>
          <w:p>
            <w:pPr>
              <w:spacing w:after="60" w:before="60"/>
            </w:pPr>
            <w:r>
              <w:rPr>
                <w:rFonts w:ascii="Calibri" w:cs="Calibri" w:eastAsia="Calibri" w:hAnsi="Calibri"/>
                <w:b/>
                <w:bCs/>
                <w:color w:val="D4AF37"/>
                <w:sz w:val="20"/>
                <w:szCs w:val="20"/>
              </w:rPr>
              <w:t xml:space="preserve">Gate Approval</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1. Strategic screening and target identification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CEO + CFO</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2. Preliminary assessment and indicative valuation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CEO + CFO</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3. Initial approach and NDA</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CEO</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4. LOI / term sheet negotiation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CEO + CFO + Board notification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5. Due diligence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Funded by CEO + CFO approval</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6. Definitive agreement and Board approval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Board of Directors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7. Regulatory approval and closing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Board (delegated to CEO + CFO)</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8. Integration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CEO + CFO oversight</w:t>
            </w:r>
          </w:p>
        </w:tc>
      </w:tr>
    </w:tbl>
    <w:p>
      <w:pPr>
        <w:pStyle w:val="Heading2"/>
        <w:spacing w:after="150" w:before="300"/>
      </w:pPr>
      <w:r>
        <w:rPr>
          <w:rFonts w:ascii="Georgia" w:cs="Georgia" w:eastAsia="Georgia" w:hAnsi="Georgia"/>
          <w:b/>
          <w:bCs/>
          <w:color w:val="333333"/>
          <w:sz w:val="26"/>
          <w:szCs w:val="26"/>
        </w:rPr>
        <w:t xml:space="preserve">3.4 Due Diligence Standards</w:t>
      </w:r>
    </w:p>
    <w:p>
      <w:pPr>
        <w:spacing w:after="150" w:before="0"/>
        <w:jc w:val="both"/>
      </w:pPr>
      <w:r>
        <w:rPr>
          <w:rFonts w:ascii="Calibri" w:cs="Calibri" w:eastAsia="Calibri" w:hAnsi="Calibri"/>
          <w:color w:val="333333"/>
          <w:sz w:val="22"/>
          <w:szCs w:val="22"/>
        </w:rPr>
        <w:t xml:space="preserve">Due diligence shall be comprehensive and cover: financial (historical and projected financials, quality of earnings, working capital, tax), legal (contracts, litigation, regulatory compliance, IP), operational (customers, employees, technology, facilities), commercial (market position, competitive dynamics, growth sustainability), cultural (leadership, values alignment, retention risk), and IT / cybersecurity (systems, security posture, integration complexity).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Board of Directors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Approves transactions per the DOA. Provides strategic guidance. Oversees value creation.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CEO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Leads corporate development strategy. Approves target pursuit. Leads relationship with target CEO.</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Owns financial analysis and valuation. Leads financial due diligence. Manages financing. Oversees integration from a financial perspective.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Corp Dev / Strategy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the transaction pipeline. Coordinates due diligence workstreams. Prepares Board materials.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Legal / GC</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Manages legal due diligence and documentation. Negotiates definitive agreements. Manages regulatory approvals.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Integration Lead / IMO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Plans and executes post-close integration. Manages synergy realization. Reports integration progress.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FP&amp;A</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Builds financial models, accretion/dilution analysis, and synergy models. Supports valuation.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HR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Leads people due diligence. Plans organizational integration. Manages retention programs.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External Advisors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Investment banker (valuation, negotiation, fairness opinion), legal counsel, accounting/tax advisor, and specialized consultants as needed.</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Target Evaluation</w:t>
      </w:r>
    </w:p>
    <w:p>
      <w:pPr>
        <w:pStyle w:val="Heading3"/>
        <w:spacing w:after="100" w:before="200"/>
      </w:pPr>
      <w:r>
        <w:rPr>
          <w:rFonts w:ascii="Georgia" w:cs="Georgia" w:eastAsia="Georgia" w:hAnsi="Georgia"/>
          <w:b/>
          <w:bCs/>
          <w:color w:val="444444"/>
          <w:sz w:val="22"/>
          <w:szCs w:val="22"/>
        </w:rPr>
        <w:t xml:space="preserve">5.1.1 Strategic Fit Assessment</w:t>
      </w:r>
    </w:p>
    <w:p>
      <w:pPr>
        <w:spacing w:after="150" w:before="0"/>
        <w:jc w:val="both"/>
      </w:pPr>
      <w:r>
        <w:rPr>
          <w:rFonts w:ascii="Calibri" w:cs="Calibri" w:eastAsia="Calibri" w:hAnsi="Calibri"/>
          <w:color w:val="333333"/>
          <w:sz w:val="22"/>
          <w:szCs w:val="22"/>
        </w:rPr>
        <w:t xml:space="preserve">Each potential target shall be evaluated against the strategic criteria defined in Section 3.1. The assessment shall include: alignment with stated strategic priorities, market attractiveness (size, growth, competitive dynamics), capability or asset value to [Company Name], customer overlap and cross-sell opportunity, cultural compatibility assessment, and integration complexity estimate.</w:t>
      </w:r>
    </w:p>
    <w:p>
      <w:pPr>
        <w:pStyle w:val="Heading3"/>
        <w:spacing w:after="100" w:before="200"/>
      </w:pPr>
      <w:r>
        <w:rPr>
          <w:rFonts w:ascii="Georgia" w:cs="Georgia" w:eastAsia="Georgia" w:hAnsi="Georgia"/>
          <w:b/>
          <w:bCs/>
          <w:color w:val="444444"/>
          <w:sz w:val="22"/>
          <w:szCs w:val="22"/>
        </w:rPr>
        <w:t xml:space="preserve">5.1.2 Financial Assessment</w:t>
      </w:r>
    </w:p>
    <w:p>
      <w:pPr>
        <w:spacing w:after="150" w:before="0"/>
        <w:jc w:val="both"/>
      </w:pPr>
      <w:r>
        <w:rPr>
          <w:rFonts w:ascii="Calibri" w:cs="Calibri" w:eastAsia="Calibri" w:hAnsi="Calibri"/>
          <w:color w:val="333333"/>
          <w:sz w:val="22"/>
          <w:szCs w:val="22"/>
        </w:rPr>
        <w:t xml:space="preserve">The financial assessment shall include: quality of earnings analysis (adjusting reported EBITDA for non-recurring, non-cash, and owner-related items), working capital normalization, capital expenditure requirements (maintenance vs. growth CapEx), tax attribute analysis (NOLs, tax credits, structural considerations), and preliminary valuation using at least two methodologies.</w:t>
      </w:r>
    </w:p>
    <w:p>
      <w:pPr>
        <w:pStyle w:val="Heading2"/>
        <w:spacing w:after="150" w:before="300"/>
      </w:pPr>
      <w:r>
        <w:rPr>
          <w:rFonts w:ascii="Georgia" w:cs="Georgia" w:eastAsia="Georgia" w:hAnsi="Georgia"/>
          <w:b/>
          <w:bCs/>
          <w:color w:val="333333"/>
          <w:sz w:val="26"/>
          <w:szCs w:val="26"/>
        </w:rPr>
        <w:t xml:space="preserve">5.2 Due Diligence Execution</w:t>
      </w:r>
    </w:p>
    <w:p>
      <w:pPr>
        <w:spacing w:after="150" w:before="0"/>
        <w:jc w:val="both"/>
      </w:pPr>
      <w:r>
        <w:rPr>
          <w:rFonts w:ascii="Calibri" w:cs="Calibri" w:eastAsia="Calibri" w:hAnsi="Calibri"/>
          <w:color w:val="333333"/>
          <w:sz w:val="22"/>
          <w:szCs w:val="22"/>
        </w:rPr>
        <w:t xml:space="preserve">Due diligence shall be organized into workstreams, each with a designated lead and checklist: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Workstream</w:t>
            </w:r>
          </w:p>
        </w:tc>
        <w:tc>
          <w:tcPr>
            <w:tcW w:type="dxa" w:w="6160"/>
            <w:shd w:fill="0C0C0C" w:val="clear"/>
          </w:tcPr>
          <w:p>
            <w:pPr>
              <w:spacing w:after="60" w:before="60"/>
            </w:pPr>
            <w:r>
              <w:rPr>
                <w:rFonts w:ascii="Calibri" w:cs="Calibri" w:eastAsia="Calibri" w:hAnsi="Calibri"/>
                <w:b/>
                <w:bCs/>
                <w:color w:val="D4AF37"/>
                <w:sz w:val="20"/>
                <w:szCs w:val="20"/>
              </w:rPr>
              <w:t xml:space="preserve">Lead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Financial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 FP&amp;A</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Tax</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Tax Director / External Tax Advisor</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Legal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General Counsel / External Counsel</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Commercial / Market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Corp Dev / Strategy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Operations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COO / Functional Leaders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Technology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CTO / IT Director</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Human Resources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CHRO / HR Director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Environmental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Legal / External Consultant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Insurance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Risk Manager / Broker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Cybersecurity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CISO</w:t>
            </w:r>
          </w:p>
        </w:tc>
      </w:tr>
    </w:tbl>
    <w:p>
      <w:pPr>
        <w:spacing w:after="150" w:before="0"/>
        <w:jc w:val="both"/>
      </w:pPr>
      <w:r>
        <w:rPr>
          <w:rFonts w:ascii="Calibri" w:cs="Calibri" w:eastAsia="Calibri" w:hAnsi="Calibri"/>
          <w:color w:val="333333"/>
          <w:sz w:val="22"/>
          <w:szCs w:val="22"/>
        </w:rPr>
        <w:t xml:space="preserve">Each workstream shall produce a findings report within the diligence timeline. Critical findings (deal-breakers, material risks, significant value adjustments) shall be escalated to the CFO and CEO immediately upon discovery.</w:t>
      </w:r>
    </w:p>
    <w:p>
      <w:pPr>
        <w:pStyle w:val="Heading2"/>
        <w:spacing w:after="150" w:before="300"/>
      </w:pPr>
      <w:r>
        <w:rPr>
          <w:rFonts w:ascii="Georgia" w:cs="Georgia" w:eastAsia="Georgia" w:hAnsi="Georgia"/>
          <w:b/>
          <w:bCs/>
          <w:color w:val="333333"/>
          <w:sz w:val="26"/>
          <w:szCs w:val="26"/>
        </w:rPr>
        <w:t xml:space="preserve">5.3 Valuation and Deal Structure</w:t>
      </w:r>
    </w:p>
    <w:p>
      <w:pPr>
        <w:pStyle w:val="Heading3"/>
        <w:spacing w:after="100" w:before="200"/>
      </w:pPr>
      <w:r>
        <w:rPr>
          <w:rFonts w:ascii="Georgia" w:cs="Georgia" w:eastAsia="Georgia" w:hAnsi="Georgia"/>
          <w:b/>
          <w:bCs/>
          <w:color w:val="444444"/>
          <w:sz w:val="22"/>
          <w:szCs w:val="22"/>
        </w:rPr>
        <w:t xml:space="preserve">5.3.1 Valuation Methodologies</w:t>
      </w:r>
    </w:p>
    <w:p>
      <w:pPr>
        <w:spacing w:after="150" w:before="0"/>
        <w:jc w:val="both"/>
      </w:pPr>
      <w:r>
        <w:rPr>
          <w:rFonts w:ascii="Calibri" w:cs="Calibri" w:eastAsia="Calibri" w:hAnsi="Calibri"/>
          <w:color w:val="333333"/>
          <w:sz w:val="22"/>
          <w:szCs w:val="22"/>
        </w:rPr>
        <w:t xml:space="preserve">At least two of the following valuation approaches shall be used: comparable public company analysis (trading multiples), precedent transaction analysis (transaction multiples), discounted cash flow analysis (5-year projection + terminal value), and leveraged buyout analysis (for PE-backed situations). The CFO shall present a valuation range (not a single point estimate) with sensitivity to key assumptions.</w:t>
      </w:r>
    </w:p>
    <w:p>
      <w:pPr>
        <w:pStyle w:val="Heading3"/>
        <w:spacing w:after="100" w:before="200"/>
      </w:pPr>
      <w:r>
        <w:rPr>
          <w:rFonts w:ascii="Georgia" w:cs="Georgia" w:eastAsia="Georgia" w:hAnsi="Georgia"/>
          <w:b/>
          <w:bCs/>
          <w:color w:val="444444"/>
          <w:sz w:val="22"/>
          <w:szCs w:val="22"/>
        </w:rPr>
        <w:t xml:space="preserve">5.3.2 Synergy Analysis</w:t>
      </w:r>
    </w:p>
    <w:p>
      <w:pPr>
        <w:spacing w:after="150" w:before="0"/>
        <w:jc w:val="both"/>
      </w:pPr>
      <w:r>
        <w:rPr>
          <w:rFonts w:ascii="Calibri" w:cs="Calibri" w:eastAsia="Calibri" w:hAnsi="Calibri"/>
          <w:color w:val="333333"/>
          <w:sz w:val="22"/>
          <w:szCs w:val="22"/>
        </w:rPr>
        <w:t xml:space="preserve">Revenue and cost synergies shall be estimated using a bottom-up approach: each synergy identified with a specific action, responsible owner, implementation timeline, and required investment. Synergies shall be risk-adjusted: cost synergies at [75-90%] probability and revenue synergies at [25-50%] probability. Only risk-adjusted synergies shall be included in the valuation.</w:t>
      </w:r>
    </w:p>
    <w:p>
      <w:pPr>
        <w:pStyle w:val="Heading3"/>
        <w:spacing w:after="100" w:before="200"/>
      </w:pPr>
      <w:r>
        <w:rPr>
          <w:rFonts w:ascii="Georgia" w:cs="Georgia" w:eastAsia="Georgia" w:hAnsi="Georgia"/>
          <w:b/>
          <w:bCs/>
          <w:color w:val="444444"/>
          <w:sz w:val="22"/>
          <w:szCs w:val="22"/>
        </w:rPr>
        <w:t xml:space="preserve">5.3.3 Deal Structure</w:t>
      </w:r>
    </w:p>
    <w:p>
      <w:pPr>
        <w:spacing w:after="150" w:before="0"/>
        <w:jc w:val="both"/>
      </w:pPr>
      <w:r>
        <w:rPr>
          <w:rFonts w:ascii="Calibri" w:cs="Calibri" w:eastAsia="Calibri" w:hAnsi="Calibri"/>
          <w:color w:val="333333"/>
          <w:sz w:val="22"/>
          <w:szCs w:val="22"/>
        </w:rPr>
        <w:t xml:space="preserve">The deal structure shall be optimized for: tax efficiency (asset vs. stock purchase, Section 338(h)(10) election), risk allocation (representations, indemnification, escrow, R&amp;W insurance), alignment of interests (earnouts for uncertain value, retention for key employees), and financing (cash, debt, equity, or combination based on capital structure targets).</w:t>
      </w:r>
    </w:p>
    <w:p>
      <w:pPr>
        <w:pStyle w:val="Heading2"/>
        <w:spacing w:after="150" w:before="300"/>
      </w:pPr>
      <w:r>
        <w:rPr>
          <w:rFonts w:ascii="Georgia" w:cs="Georgia" w:eastAsia="Georgia" w:hAnsi="Georgia"/>
          <w:b/>
          <w:bCs/>
          <w:color w:val="333333"/>
          <w:sz w:val="26"/>
          <w:szCs w:val="26"/>
        </w:rPr>
        <w:t xml:space="preserve">5.4 Integration Planning</w:t>
      </w:r>
    </w:p>
    <w:p>
      <w:pPr>
        <w:spacing w:after="150" w:before="0"/>
        <w:jc w:val="both"/>
      </w:pPr>
      <w:r>
        <w:rPr>
          <w:rFonts w:ascii="Calibri" w:cs="Calibri" w:eastAsia="Calibri" w:hAnsi="Calibri"/>
          <w:color w:val="333333"/>
          <w:sz w:val="22"/>
          <w:szCs w:val="22"/>
        </w:rPr>
        <w:t xml:space="preserve">Integration planning shall begin during due diligence and address: Day 1 readiness (legal entity, bank accounts, payroll, benefits, IT access), first 100 days priorities (organizational structure, quick wins, customer communication), synergy capture plan with milestones and accountabilities, cultural integration approach, and communication plan (employees, customers, vendors, investors).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M&amp;A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Target pursuit (screening stage)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CEO +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NDA execution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CEO or GC</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LOI / term sheet execution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CEO + CFO + Board notification</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Due diligence budget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&lt; $500K</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Due diligence budget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&gt; $500K</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Board</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Definitive agreement execution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Board of Directors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Regulatory filing (HSR, CFIUS)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GC + CEO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Integration budget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Per approved plan</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Divestiture / carve-out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Board of Directors</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External advisor engagement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Per DOA</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There are no exceptions to the Board approval requirement for definitive agreements. Transactions that deviate from the financial discipline standards (Section 3.2) require explicit Board acknowledgment of the deviation and the strategic rationale. Walk-away discipline is critical — the willingness to abandon a transaction that does not meet financial or strategic standards is a sign of strength, not failure.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Post-close performance tracking: actual vs. projected financial results at 6, 12, 18, and 24 months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Synergy realization tracking: planned vs. actual synergies reported monthly to the CFO</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Integration milestone tracking: reported to the Board quarterly for 24 months post-close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retrospective on completed transactions: lessons learned documented and shared</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Post-close EBITDA vs. diligence model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Within [10%] at 12 months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Synergy realization (cost)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[75%+] of risk-adjusted estimate at 18 months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Key employee retention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[90%+] at 12 months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Integration milestone completion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[80%+] on time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Customer retention post-close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[95%+]</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EPS accretion timeline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Achieved within [24] months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Strategic Acquisition Screening Checklist (EFuturesCFO)</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Delegation of Authority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Capital Allocation &amp; CapEx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Insider Trading &amp; Securities Compliance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Related Party Transactions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Hart-Scott-Rodino Act (HSR)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SEC Regulation M-A</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805, Business Combinations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Due Diligence Checklist Summary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3 years audited FS, monthly FS, QofE analysis, working capital, CapEx, debt schedule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Tax: returns (3 years), NOLs, transfer pricing, nexus, audit history, structure optimization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Legal: corporate records, material contracts, litigation, regulatory compliance, IP</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Commercial: customer concentration, churn, pipeline, competitive position, market trends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Operations: facilities, equipment, supply chain, key processes, capacity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HR: org chart, key employees, compensation, benefits, pending claims, culture assessment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IT: systems inventory, security posture, tech debt, integration complexity, data migration</w:t>
      </w:r>
    </w:p>
    <w:p>
      <w:pPr>
        <w:pStyle w:val="Heading2"/>
        <w:spacing w:after="150" w:before="300"/>
      </w:pPr>
      <w:r>
        <w:rPr>
          <w:rFonts w:ascii="Georgia" w:cs="Georgia" w:eastAsia="Georgia" w:hAnsi="Georgia"/>
          <w:b/>
          <w:bCs/>
          <w:color w:val="333333"/>
          <w:sz w:val="26"/>
          <w:szCs w:val="26"/>
        </w:rPr>
        <w:t xml:space="preserve">Appendix B — Board Approval Memo Template</w:t>
      </w:r>
    </w:p>
    <w:p>
      <w:pPr>
        <w:spacing w:after="150" w:before="0"/>
        <w:jc w:val="both"/>
      </w:pPr>
      <w:r>
        <w:rPr>
          <w:rFonts w:ascii="Calibri" w:cs="Calibri" w:eastAsia="Calibri" w:hAnsi="Calibri"/>
          <w:color w:val="333333"/>
          <w:sz w:val="22"/>
          <w:szCs w:val="22"/>
        </w:rPr>
        <w:t xml:space="preserve">The Board memo shall include: executive summary and recommendation, strategic rationale, target overview, financial analysis (valuation, accretion/dilution, IRR), key due diligence findings and risks, deal structure and terms, financing plan, integration approach, and key conditions to close.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M&amp;A &amp; Corporate Development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2026-07-13T07:58:31.125Z</dcterms:created>
  <dcterms:modified xsi:type="dcterms:W3CDTF">2026-07-13T07:58:31.125Z</dcterms:modified>
</cp:coreProperties>
</file>

<file path=docProps/custom.xml><?xml version="1.0" encoding="utf-8"?>
<Properties xmlns="http://schemas.openxmlformats.org/officeDocument/2006/custom-properties" xmlns:vt="http://schemas.openxmlformats.org/officeDocument/2006/docPropsVTypes"/>
</file>