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Cybersecurity (Finance)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Cybersecurity (Finance) Policy establishes the standards, procedures, and controls for protecting [Company Name]'s financial systems, data, and processes from cyber threats. The policy supplements the enterprise cybersecurity program with finance-specific controls addressing the unique risks to financial systems, payment processes, and sensitive financial data.</w:t>
      </w:r>
    </w:p>
    <w:p>
      <w:pPr>
        <w:spacing w:after="150" w:before="0"/>
        <w:jc w:val="both"/>
      </w:pPr>
      <w:r>
        <w:rPr>
          <w:rFonts w:ascii="Calibri" w:cs="Calibri" w:eastAsia="Calibri" w:hAnsi="Calibri"/>
          <w:color w:val="333333"/>
          <w:sz w:val="22"/>
          <w:szCs w:val="22"/>
        </w:rPr>
        <w:t xml:space="preserve">This policy applies to all financial systems, financial data, payment processes, and treasury operations. It covers protection of: ERP and financial applications, banking and payment platforms, payroll systems, treasury management systems, financial planning tools, and any system processing or storing financial data.</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financial systems from unauthorized access, data breaches, and cyber attacks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business email compromise (BEC) and payment fraud targeting the finance function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financial data confidentiality, integrity, and availability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finance-specific incident response procedures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cyber insurance coverage adequate for financial system risks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regulatory cybersecurity requirements affecting financial operations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Business Email Compromise — a social engineering attack where criminals impersonate executives or vendors to trick employees into making unauthorized payments or sharing sensitive data.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Ransomware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Malware that encrypts data and demands payment for decryption, often targeting financial systems for maximum disruption.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Phishing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Fraudulent communications (email, phone, text) designed to trick individuals into revealing credentials or clicking malicious links.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Zero Trust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security model that requires verification for every access request, regardless of source location, based on the principle of never trust, always verify.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MFA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Multi-Factor Authentication — requiring two or more verification factors to access systems.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DLP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Data Loss Prevention — tools and processes that prevent unauthorized transfer of sensitive data outside the organization.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SIEM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Security Information and Event Management — a system that aggregates and analyzes security logs from multiple sources for threat detection.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SOC</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Security Operations Center — the team responsible for monitoring and responding to security threats.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Positive Pay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bank fraud prevention service that matches presented checks against a company-issued check file.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ACH Block / Filter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bank service that blocks unauthorized ACH debits from company bank accounts.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Finance-Specific Threat Landscape</w:t>
      </w:r>
    </w:p>
    <w:p>
      <w:pPr>
        <w:spacing w:after="150" w:before="0"/>
        <w:jc w:val="both"/>
      </w:pPr>
      <w:r>
        <w:rPr>
          <w:rFonts w:ascii="Calibri" w:cs="Calibri" w:eastAsia="Calibri" w:hAnsi="Calibri"/>
          <w:color w:val="333333"/>
          <w:sz w:val="22"/>
          <w:szCs w:val="22"/>
        </w:rPr>
        <w:t xml:space="preserve">The finance function faces targeted cyber threats including: BEC targeting wire transfers and vendor payment changes (the single largest financial fraud category), ransomware targeting ERP and financial systems to maximize business disruption, credential theft targeting finance users with access to banking platforms, insider threats from finance staff with access to sensitive data and payment systems, and supply chain attacks through compromised vendors or software used by finance.</w:t>
      </w:r>
    </w:p>
    <w:p>
      <w:pPr>
        <w:pStyle w:val="Heading2"/>
        <w:spacing w:after="150" w:before="300"/>
      </w:pPr>
      <w:r>
        <w:rPr>
          <w:rFonts w:ascii="Georgia" w:cs="Georgia" w:eastAsia="Georgia" w:hAnsi="Georgia"/>
          <w:b/>
          <w:bCs/>
          <w:color w:val="333333"/>
          <w:sz w:val="26"/>
          <w:szCs w:val="26"/>
        </w:rPr>
        <w:t xml:space="preserve">3.2 Layered Defense</w:t>
      </w:r>
    </w:p>
    <w:p>
      <w:pPr>
        <w:spacing w:after="150" w:before="0"/>
        <w:jc w:val="both"/>
      </w:pPr>
      <w:r>
        <w:rPr>
          <w:rFonts w:ascii="Calibri" w:cs="Calibri" w:eastAsia="Calibri" w:hAnsi="Calibri"/>
          <w:color w:val="333333"/>
          <w:sz w:val="22"/>
          <w:szCs w:val="22"/>
        </w:rPr>
        <w:t xml:space="preserve">[Company Name] shall implement layered cybersecurity controls for financial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Identity: MFA on all financial systems, privileged access management, identity governance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Network: financial system network segmentation, micro-segmentation for payment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Endpoint: EDR on all devices accessing financial systems, managed device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Application: application security testing, secure configuration, patch management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Data: encryption at rest and in transit, DLP, data classification, access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Process: payment verification procedures, dual authorization, out-of-band verification</w:t>
      </w:r>
    </w:p>
    <w:p>
      <w:pPr>
        <w:pStyle w:val="Heading2"/>
        <w:spacing w:after="150" w:before="300"/>
      </w:pPr>
      <w:r>
        <w:rPr>
          <w:rFonts w:ascii="Georgia" w:cs="Georgia" w:eastAsia="Georgia" w:hAnsi="Georgia"/>
          <w:b/>
          <w:bCs/>
          <w:color w:val="333333"/>
          <w:sz w:val="26"/>
          <w:szCs w:val="26"/>
        </w:rPr>
        <w:t xml:space="preserve">3.3 Payment Security</w:t>
      </w:r>
    </w:p>
    <w:p>
      <w:pPr>
        <w:spacing w:after="150" w:before="0"/>
        <w:jc w:val="both"/>
      </w:pPr>
      <w:r>
        <w:rPr>
          <w:rFonts w:ascii="Calibri" w:cs="Calibri" w:eastAsia="Calibri" w:hAnsi="Calibri"/>
          <w:color w:val="333333"/>
          <w:sz w:val="22"/>
          <w:szCs w:val="22"/>
        </w:rPr>
        <w:t xml:space="preserve">All payment processes shall implement the following security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Dual authorization for all payments above [threshold]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Out-of-band verification for any change to vendor bank details (phone callback to a known number)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Positive Pay for all check disbursement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ACH debit blocks or filters on all bank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Wire transfer templates with pre-verified beneficiary details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Separation of payment initiation from payment approval (both system access and organizational)</w:t>
      </w:r>
    </w:p>
    <w:p>
      <w:pPr>
        <w:pStyle w:val="Heading2"/>
        <w:spacing w:after="150" w:before="300"/>
      </w:pPr>
      <w:r>
        <w:rPr>
          <w:rFonts w:ascii="Georgia" w:cs="Georgia" w:eastAsia="Georgia" w:hAnsi="Georgia"/>
          <w:b/>
          <w:bCs/>
          <w:color w:val="333333"/>
          <w:sz w:val="26"/>
          <w:szCs w:val="26"/>
        </w:rPr>
        <w:t xml:space="preserve">3.4 Financial Data Protection</w:t>
      </w:r>
    </w:p>
    <w:p>
      <w:pPr>
        <w:spacing w:after="150" w:before="0"/>
        <w:jc w:val="both"/>
      </w:pPr>
      <w:r>
        <w:rPr>
          <w:rFonts w:ascii="Calibri" w:cs="Calibri" w:eastAsia="Calibri" w:hAnsi="Calibri"/>
          <w:color w:val="333333"/>
          <w:sz w:val="22"/>
          <w:szCs w:val="22"/>
        </w:rPr>
        <w:t xml:space="preserve">Financial data shall be classified and protected per the Data Governance Policy. Additional finance-specific protections include: encryption of all financial data at rest (database encryption, file encryption) and in transit (TLS 1.2+), DLP controls preventing financial data exfiltration via email, cloud storage, or USB, access logging for all financial data access with anomaly detection, and secure disposal of financial records per the Record Retention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financial cybersecurity risk acceptance. Reviews cyber risk posture quarterly. Approves finance-specific security investments.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CISO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Implements cybersecurity controls. Manages the SOC and incident response. Reports cyber risk status to the CFO and Board.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Ensures financial process controls address cyber risks. Coordinates with CISO on finance-specific threats.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banking platform security. Implements payment fraud prevention controls. Coordinates with banks on security services.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 Security Team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Implements technical controls (MFA, DLP, network segmentation). Monitors financial system security events.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Finance Staff</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Follow security procedures. Report suspicious emails and payment requests. Complete security training.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cybersecurity controls. Evaluates cyber incident response readiness. Reports to the Audit Committee.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BEC Prevention</w:t>
      </w:r>
    </w:p>
    <w:p>
      <w:pPr>
        <w:pStyle w:val="Heading3"/>
        <w:spacing w:after="100" w:before="200"/>
      </w:pPr>
      <w:r>
        <w:rPr>
          <w:rFonts w:ascii="Georgia" w:cs="Georgia" w:eastAsia="Georgia" w:hAnsi="Georgia"/>
          <w:b/>
          <w:bCs/>
          <w:color w:val="444444"/>
          <w:sz w:val="22"/>
          <w:szCs w:val="22"/>
        </w:rPr>
        <w:t xml:space="preserve">5.1.1 Email Security</w:t>
      </w:r>
    </w:p>
    <w:p>
      <w:pPr>
        <w:spacing w:after="150" w:before="0"/>
        <w:jc w:val="both"/>
      </w:pPr>
      <w:r>
        <w:rPr>
          <w:rFonts w:ascii="Calibri" w:cs="Calibri" w:eastAsia="Calibri" w:hAnsi="Calibri"/>
          <w:color w:val="333333"/>
          <w:sz w:val="22"/>
          <w:szCs w:val="22"/>
        </w:rPr>
        <w:t xml:space="preserve">Email security controls shall include: email authentication (SPF, DKIM, DMARC) to prevent domain spoofing, external email banners alerting recipients when messages originate outside the organization, AI-based email security scanning for social engineering indicators, and blocking of look-alike domains that mimic [Company Name] or key vendors.</w:t>
      </w:r>
    </w:p>
    <w:p>
      <w:pPr>
        <w:pStyle w:val="Heading3"/>
        <w:spacing w:after="100" w:before="200"/>
      </w:pPr>
      <w:r>
        <w:rPr>
          <w:rFonts w:ascii="Georgia" w:cs="Georgia" w:eastAsia="Georgia" w:hAnsi="Georgia"/>
          <w:b/>
          <w:bCs/>
          <w:color w:val="444444"/>
          <w:sz w:val="22"/>
          <w:szCs w:val="22"/>
        </w:rPr>
        <w:t xml:space="preserve">5.1.2 Payment Change Verification</w:t>
      </w:r>
    </w:p>
    <w:p>
      <w:pPr>
        <w:spacing w:after="150" w:before="0"/>
        <w:jc w:val="both"/>
      </w:pPr>
      <w:r>
        <w:rPr>
          <w:rFonts w:ascii="Calibri" w:cs="Calibri" w:eastAsia="Calibri" w:hAnsi="Calibri"/>
          <w:color w:val="333333"/>
          <w:sz w:val="22"/>
          <w:szCs w:val="22"/>
        </w:rPr>
        <w:t xml:space="preserve">Any request to change vendor payment details (bank account, routing number, address) shall be verified through: independent confirmation using a phone number already on file (NOT the number in the change request), written confirmation from an authorized representative of the vendor, and dual approval of the change in the vendor master file.</w:t>
      </w:r>
    </w:p>
    <w:p>
      <w:pPr>
        <w:pStyle w:val="Heading3"/>
        <w:spacing w:after="100" w:before="200"/>
      </w:pPr>
      <w:r>
        <w:rPr>
          <w:rFonts w:ascii="Georgia" w:cs="Georgia" w:eastAsia="Georgia" w:hAnsi="Georgia"/>
          <w:b/>
          <w:bCs/>
          <w:color w:val="444444"/>
          <w:sz w:val="22"/>
          <w:szCs w:val="22"/>
        </w:rPr>
        <w:t xml:space="preserve">5.1.3 Executive Impersonation</w:t>
      </w:r>
    </w:p>
    <w:p>
      <w:pPr>
        <w:spacing w:after="150" w:before="0"/>
        <w:jc w:val="both"/>
      </w:pPr>
      <w:r>
        <w:rPr>
          <w:rFonts w:ascii="Calibri" w:cs="Calibri" w:eastAsia="Calibri" w:hAnsi="Calibri"/>
          <w:color w:val="333333"/>
          <w:sz w:val="22"/>
          <w:szCs w:val="22"/>
        </w:rPr>
        <w:t xml:space="preserve">Requests purporting to come from executives (especially requests for urgent wire transfers, gift card purchases, or confidential information) shall be verified through: direct phone contact with the executive, in-person confirmation when possible, and awareness that executives will never request employees to bypass controls.</w:t>
      </w:r>
    </w:p>
    <w:p>
      <w:pPr>
        <w:pStyle w:val="Heading2"/>
        <w:spacing w:after="150" w:before="300"/>
      </w:pPr>
      <w:r>
        <w:rPr>
          <w:rFonts w:ascii="Georgia" w:cs="Georgia" w:eastAsia="Georgia" w:hAnsi="Georgia"/>
          <w:b/>
          <w:bCs/>
          <w:color w:val="333333"/>
          <w:sz w:val="26"/>
          <w:szCs w:val="26"/>
        </w:rPr>
        <w:t xml:space="preserve">5.2 Ransomware Protection</w:t>
      </w:r>
    </w:p>
    <w:p>
      <w:pPr>
        <w:pStyle w:val="Heading3"/>
        <w:spacing w:after="100" w:before="200"/>
      </w:pPr>
      <w:r>
        <w:rPr>
          <w:rFonts w:ascii="Georgia" w:cs="Georgia" w:eastAsia="Georgia" w:hAnsi="Georgia"/>
          <w:b/>
          <w:bCs/>
          <w:color w:val="444444"/>
          <w:sz w:val="22"/>
          <w:szCs w:val="22"/>
        </w:rPr>
        <w:t xml:space="preserve">5.2.1 Prevention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EDR on all endpoints accessing financial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Network segmentation isolating financial systems from general 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Email and web filtering blocking known malicious content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Patch management keeping all financial systems current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Least privilege access limiting the blast radius of any compromise</w:t>
      </w:r>
    </w:p>
    <w:p>
      <w:pPr>
        <w:pStyle w:val="Heading3"/>
        <w:spacing w:after="100" w:before="200"/>
      </w:pPr>
      <w:r>
        <w:rPr>
          <w:rFonts w:ascii="Georgia" w:cs="Georgia" w:eastAsia="Georgia" w:hAnsi="Georgia"/>
          <w:b/>
          <w:bCs/>
          <w:color w:val="444444"/>
          <w:sz w:val="22"/>
          <w:szCs w:val="22"/>
        </w:rPr>
        <w:t xml:space="preserve">5.2.2 Recovery Preparation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Immutable backups that cannot be encrypted by ransomware (air-gapped or append-only cloud storage)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Tested backup restoration procedures for all financial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Documented RTO/RPO targets: financial systems shall be recoverable within [X] hours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Ransomware-specific incident response playbook reviewed and tested annually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 insurance coverage verified for ransomware scenarios including business interruption</w:t>
      </w:r>
    </w:p>
    <w:p>
      <w:pPr>
        <w:pStyle w:val="Heading2"/>
        <w:spacing w:after="150" w:before="300"/>
      </w:pPr>
      <w:r>
        <w:rPr>
          <w:rFonts w:ascii="Georgia" w:cs="Georgia" w:eastAsia="Georgia" w:hAnsi="Georgia"/>
          <w:b/>
          <w:bCs/>
          <w:color w:val="333333"/>
          <w:sz w:val="26"/>
          <w:szCs w:val="26"/>
        </w:rPr>
        <w:t xml:space="preserve">5.3 Security Awareness — Finance-Specific</w:t>
      </w:r>
    </w:p>
    <w:p>
      <w:pPr>
        <w:spacing w:after="150" w:before="0"/>
        <w:jc w:val="both"/>
      </w:pPr>
      <w:r>
        <w:rPr>
          <w:rFonts w:ascii="Calibri" w:cs="Calibri" w:eastAsia="Calibri" w:hAnsi="Calibri"/>
          <w:color w:val="333333"/>
          <w:sz w:val="22"/>
          <w:szCs w:val="22"/>
        </w:rPr>
        <w:t xml:space="preserve">All finance staff shall complete finance-specific cybersecurity training covering: BEC recognition and response, payment fraud schemes and prevention, safe handling of sensitive financial data, phishing simulation results and improvement, and incident reporting procedures. Training shall be completed annually with quarterly phishing simulations targeting finance users specifically.</w:t>
      </w:r>
    </w:p>
    <w:p>
      <w:pPr>
        <w:pStyle w:val="Heading2"/>
        <w:spacing w:after="150" w:before="300"/>
      </w:pPr>
      <w:r>
        <w:rPr>
          <w:rFonts w:ascii="Georgia" w:cs="Georgia" w:eastAsia="Georgia" w:hAnsi="Georgia"/>
          <w:b/>
          <w:bCs/>
          <w:color w:val="333333"/>
          <w:sz w:val="26"/>
          <w:szCs w:val="26"/>
        </w:rPr>
        <w:t xml:space="preserve">5.4 Incident Response — Finance</w:t>
      </w:r>
    </w:p>
    <w:p>
      <w:pPr>
        <w:spacing w:after="150" w:before="0"/>
        <w:jc w:val="both"/>
      </w:pPr>
      <w:r>
        <w:rPr>
          <w:rFonts w:ascii="Calibri" w:cs="Calibri" w:eastAsia="Calibri" w:hAnsi="Calibri"/>
          <w:color w:val="333333"/>
          <w:sz w:val="22"/>
          <w:szCs w:val="22"/>
        </w:rPr>
        <w:t xml:space="preserve">When a cybersecurity incident affects financial systems or data:</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Finance team member reports to the CISO and CFO immediately</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CISO activates the incident response team with finance representation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assesses financial impact: compromised data, unauthorized payments, reporting implications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evaluates impact on financial close, reporting deadlines, and SOX controls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Treasurer contacts banks to freeze accounts if payment fraud is suspected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Legal evaluates disclosure obligations (SEC 8-K, state breach notification, regulatory reporting)</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CFO reports to the Audit Committee within [24] hours for material incidents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Cybersecurity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Finance security investment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CISO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Finance security investment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Vendor bank detail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Dual approval + callback verification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Exception to MFA requirement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Not permitted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N/A</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Incident response activation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suspected incidents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CISO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Cyber insurance claim</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CISO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Ransom payment decision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Board (not recommended by policy)</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SEC incident disclosure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Material incidents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 + CEO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MFA requirements for financial systems. There are no exceptions to dual authorization for payments above threshold. There are no exceptions to vendor bank detail verification via callback. Any request to bypass these controls is itself a potential indicator of social engineering or fraud and shall be reported to the CISO immediately.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Continuous SIEM monitoring of financial system security events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phishing simulation targeting finance users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payment fraud controls effectiveness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financial system access logs for anomalies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penetration testing specifically targeting financial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tabletop exercise simulating a cyber attack on financial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cyber insurance coverage review</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Finance phishing simulation click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MFA coverage for financial systems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Payment fraud losses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Mean time to detect financial system security incidents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[4] hours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Financial system backup restoration test success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Security training completion (finance staff)</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Vendor bank change verification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General Controls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Continuity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&amp; Risk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NIST Cybersecurity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CF Disclosure Guidance: Topic No. 2 (Cybersecurity)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BEC Red Flags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Urgent or time-pressured payment request from an executive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Request to bypass normal approval procedures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bank detail change communicated only by email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Email address slightly different from the real address (look-alike domain)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Request for secrecy or confidentiality about the payment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Payment to a new beneficiary or different country than usual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Request for gift cards, cryptocurrency, or other hard-to-trace payment methods</w:t>
      </w:r>
    </w:p>
    <w:p>
      <w:pPr>
        <w:pStyle w:val="Heading2"/>
        <w:spacing w:after="150" w:before="300"/>
      </w:pPr>
      <w:r>
        <w:rPr>
          <w:rFonts w:ascii="Georgia" w:cs="Georgia" w:eastAsia="Georgia" w:hAnsi="Georgia"/>
          <w:b/>
          <w:bCs/>
          <w:color w:val="333333"/>
          <w:sz w:val="26"/>
          <w:szCs w:val="26"/>
        </w:rPr>
        <w:t xml:space="preserve">Appendix B — Finance Incident Response Quick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Step</w:t>
            </w:r>
          </w:p>
        </w:tc>
        <w:tc>
          <w:tcPr>
            <w:tcW w:type="dxa" w:w="6160"/>
            <w:shd w:fill="0C0C0C" w:val="clear"/>
          </w:tcPr>
          <w:p>
            <w:pPr>
              <w:spacing w:after="60" w:before="60"/>
            </w:pPr>
            <w:r>
              <w:rPr>
                <w:rFonts w:ascii="Calibri" w:cs="Calibri" w:eastAsia="Calibri" w:hAnsi="Calibri"/>
                <w:b/>
                <w:bCs/>
                <w:color w:val="D4AF37"/>
                <w:sz w:val="20"/>
                <w:szCs w:val="20"/>
              </w:rPr>
              <w:t xml:space="preserve">Action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1. Detect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Identify suspicious activity — report to CISO and CFO immediately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2. Contain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Freeze affected accounts, disable compromised credentials, isolate affected systems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3. Assess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Determine scope: what data, what systems, what financial impact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4. Notify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Banks (for payment fraud), Legal (for disclosure), Audit Committee (for material events)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5. Investigate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Forensic analysis, root cause determination, evidence preservation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6. Recover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Restore systems from clean backups, re-verify data integrity, resume operations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7. Learn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Post-incident review, control improvements, updated training</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Cybersecurity (Finance)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2026-07-13T07:52:26.234Z</dcterms:created>
  <dcterms:modified xsi:type="dcterms:W3CDTF">2026-07-13T07:52:26.234Z</dcterms:modified>
</cp:coreProperties>
</file>

<file path=docProps/custom.xml><?xml version="1.0" encoding="utf-8"?>
<Properties xmlns="http://schemas.openxmlformats.org/officeDocument/2006/custom-properties" xmlns:vt="http://schemas.openxmlformats.org/officeDocument/2006/docPropsVTypes"/>
</file>