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IT General Controls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IT General Controls (ITGC) Policy establishes the standards, procedures, and controls for managing IT systems that support financial reporting at [Company Name]. The policy ensures that ITGCs over financially significant applications are properly designed, documented, and operating effectively to support the integrity of [Company Name]'s ICFR per SOX Section 404.</w:t>
      </w:r>
    </w:p>
    <w:p>
      <w:pPr>
        <w:spacing w:after="150" w:before="0"/>
        <w:jc w:val="both"/>
      </w:pPr>
      <w:r>
        <w:rPr>
          <w:rFonts w:ascii="Calibri" w:cs="Calibri" w:eastAsia="Calibri" w:hAnsi="Calibri"/>
          <w:color w:val="333333"/>
          <w:sz w:val="22"/>
          <w:szCs w:val="22"/>
        </w:rPr>
        <w:t xml:space="preserve">This policy applies to all information technology systems, infrastructure, and processes that are in scope for [Company Name]'s ICFR assessment, including: financially significant applications (ERP, consolidation, close management, treasury, tax), supporting infrastructure (databases, operating systems, networks), and outsourced IT services (cloud providers, managed services).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effective IT general controls that support the reliability of automated financial controls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all changes to financial systems follow a controlled development and deployment process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Restrict logical access to financial systems per the least privilege principle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IT operations support the availability and integrity of financial data</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SOX ITGC requirements as assessed by internal and external auditors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Manage third-party IT service providers through appropriate oversight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IT General Controls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Controls over IT processes that support the continued proper operation of application controls and the integrity of information processed by applications.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Application Controls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Controls embedded in business applications that process transactions (automated calculations, validations, and workflow).</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SDLC</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Software Development Life Cycle — the process for developing, testing, and deploying system changes.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Change Management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process for requesting, reviewing, approving, testing, and implementing changes to IT systems.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Logical Access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ability to access computer systems, applications, and data through user credentials and permissions.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Program Change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Any modification to application code, configuration, reports, or interfaces in a production environment.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Batch Processing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Automated jobs that run on a scheduled basis to process transactions, generate reports, or transfer data.</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SOC Report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System and Organization Controls report — an independent assessment of a service organization's controls (SOC 1 or SOC 2).</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CUEC</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Complementary User Entity Controls — controls that the service organization's report assumes are implemented by the customer.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Patch Management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process of identifying, testing, and applying software updates to remediate vulnerabilities.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ITGC Framework</w:t>
      </w:r>
    </w:p>
    <w:p>
      <w:pPr>
        <w:spacing w:after="150" w:before="0"/>
        <w:jc w:val="both"/>
      </w:pPr>
      <w:r>
        <w:rPr>
          <w:rFonts w:ascii="Calibri" w:cs="Calibri" w:eastAsia="Calibri" w:hAnsi="Calibri"/>
          <w:color w:val="333333"/>
          <w:sz w:val="22"/>
          <w:szCs w:val="22"/>
        </w:rPr>
        <w:t xml:space="preserve">[Company Name]'s ITGC framework covers four domains aligned with PCAOB guidance:</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Program Development — controls over the development of new systems and significant modifications</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Program Change Management — controls over changes to existing production systems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Logical Access — controls over who can access systems and what they can do</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Computer Operations — controls over job scheduling, backup/recovery, and incident management</w:t>
      </w:r>
    </w:p>
    <w:p>
      <w:pPr>
        <w:pStyle w:val="Heading2"/>
        <w:spacing w:after="150" w:before="300"/>
      </w:pPr>
      <w:r>
        <w:rPr>
          <w:rFonts w:ascii="Georgia" w:cs="Georgia" w:eastAsia="Georgia" w:hAnsi="Georgia"/>
          <w:b/>
          <w:bCs/>
          <w:color w:val="333333"/>
          <w:sz w:val="26"/>
          <w:szCs w:val="26"/>
        </w:rPr>
        <w:t xml:space="preserve">3.2 In-Scope Systems</w:t>
      </w:r>
    </w:p>
    <w:p>
      <w:pPr>
        <w:spacing w:after="150" w:before="0"/>
        <w:jc w:val="both"/>
      </w:pPr>
      <w:r>
        <w:rPr>
          <w:rFonts w:ascii="Calibri" w:cs="Calibri" w:eastAsia="Calibri" w:hAnsi="Calibri"/>
          <w:color w:val="333333"/>
          <w:sz w:val="22"/>
          <w:szCs w:val="22"/>
        </w:rPr>
        <w:t xml:space="preserve">Systems are in scope for ITGC when they: process, store, or report financial data used in the preparation of financial statements, support automated controls relied upon in the ICFR assessment, or provide infrastructure services to in-scope applications. The SOX Program Manager shall maintain the list of in-scope systems, updated annually during the SOX scoping process.</w:t>
      </w:r>
    </w:p>
    <w:p>
      <w:pPr>
        <w:pStyle w:val="Heading2"/>
        <w:spacing w:after="150" w:before="300"/>
      </w:pPr>
      <w:r>
        <w:rPr>
          <w:rFonts w:ascii="Georgia" w:cs="Georgia" w:eastAsia="Georgia" w:hAnsi="Georgia"/>
          <w:b/>
          <w:bCs/>
          <w:color w:val="333333"/>
          <w:sz w:val="26"/>
          <w:szCs w:val="26"/>
        </w:rPr>
        <w:t xml:space="preserve">3.3 Change Management</w:t>
      </w:r>
    </w:p>
    <w:p>
      <w:pPr>
        <w:spacing w:after="150" w:before="0"/>
        <w:jc w:val="both"/>
      </w:pPr>
      <w:r>
        <w:rPr>
          <w:rFonts w:ascii="Calibri" w:cs="Calibri" w:eastAsia="Calibri" w:hAnsi="Calibri"/>
          <w:color w:val="333333"/>
          <w:sz w:val="22"/>
          <w:szCs w:val="22"/>
        </w:rPr>
        <w:t xml:space="preserve">All changes to in-scope production systems shall follow a controlled change management process that includes: change request documentation with business justification, impact analysis and risk assessment, development in a non-production environment, testing (unit, integration, and user acceptance), approval by an individual independent of the developer, controlled migration to production, and post-implementation verification.</w:t>
      </w:r>
    </w:p>
    <w:p>
      <w:pPr>
        <w:pStyle w:val="Heading2"/>
        <w:spacing w:after="150" w:before="300"/>
      </w:pPr>
      <w:r>
        <w:rPr>
          <w:rFonts w:ascii="Georgia" w:cs="Georgia" w:eastAsia="Georgia" w:hAnsi="Georgia"/>
          <w:b/>
          <w:bCs/>
          <w:color w:val="333333"/>
          <w:sz w:val="26"/>
          <w:szCs w:val="26"/>
        </w:rPr>
        <w:t xml:space="preserve">3.4 Logical Access</w:t>
      </w:r>
    </w:p>
    <w:p>
      <w:pPr>
        <w:spacing w:after="150" w:before="0"/>
        <w:jc w:val="both"/>
      </w:pPr>
      <w:r>
        <w:rPr>
          <w:rFonts w:ascii="Calibri" w:cs="Calibri" w:eastAsia="Calibri" w:hAnsi="Calibri"/>
          <w:color w:val="333333"/>
          <w:sz w:val="22"/>
          <w:szCs w:val="22"/>
        </w:rPr>
        <w:t xml:space="preserve">Logical access to in-scope systems shall be governed by the Financial Systems Access Control Policy. Key ITGC requirements include: access provisioning with documented approval, timely deprovisioning upon termination, periodic access recertification, privileged access restriction and monitoring, and segregation of duties enforcement.</w:t>
      </w:r>
    </w:p>
    <w:p>
      <w:pPr>
        <w:pStyle w:val="Heading2"/>
        <w:spacing w:after="150" w:before="300"/>
      </w:pPr>
      <w:r>
        <w:rPr>
          <w:rFonts w:ascii="Georgia" w:cs="Georgia" w:eastAsia="Georgia" w:hAnsi="Georgia"/>
          <w:b/>
          <w:bCs/>
          <w:color w:val="333333"/>
          <w:sz w:val="26"/>
          <w:szCs w:val="26"/>
        </w:rPr>
        <w:t xml:space="preserve">3.5 Computer Operations</w:t>
      </w:r>
    </w:p>
    <w:p>
      <w:pPr>
        <w:spacing w:after="150" w:before="0"/>
        <w:jc w:val="both"/>
      </w:pPr>
      <w:r>
        <w:rPr>
          <w:rFonts w:ascii="Calibri" w:cs="Calibri" w:eastAsia="Calibri" w:hAnsi="Calibri"/>
          <w:color w:val="333333"/>
          <w:sz w:val="22"/>
          <w:szCs w:val="22"/>
        </w:rPr>
        <w:t xml:space="preserve">IT operations controls shall ensure: scheduled batch jobs complete successfully with exception monitoring, data backups are performed per the backup schedule and tested for recoverability, system availability meets defined SLAs, and security patches are applied per the patch management schedule.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CTO / IT Director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the ITGC framework for IT operations. Ensures adequate IT resources for control maintenance.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CISO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logical access controls and security monitoring. Oversees vulnerability management and patching.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IT Change Manager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the change management process. Reviews and approves changes. Coordinates change advisory board meetings.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Database / System Administrators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Implement technical controls. Manage backups and recovery. Monitor system health and batch processing.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SOX Program Manager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Defines ITGC scope. Coordinates testing. Evaluates deficiencies. Reports ITGC status.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Ensures ITGCs support financial reporting integrity. Reviews ITGC deficiency impact on ICFR.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Tests ITGCs independently. Reports findings to the Audit Committee.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External Auditor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Tests ITGCs as part of the SOX 404(b) attestation. Evaluates ITGC deficiency severity.</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Change Management Procedures</w:t>
      </w:r>
    </w:p>
    <w:p>
      <w:pPr>
        <w:pStyle w:val="Heading3"/>
        <w:spacing w:after="100" w:before="200"/>
      </w:pPr>
      <w:r>
        <w:rPr>
          <w:rFonts w:ascii="Georgia" w:cs="Georgia" w:eastAsia="Georgia" w:hAnsi="Georgia"/>
          <w:b/>
          <w:bCs/>
          <w:color w:val="444444"/>
          <w:sz w:val="22"/>
          <w:szCs w:val="22"/>
        </w:rPr>
        <w:t xml:space="preserve">5.1.1 Change Request</w:t>
      </w:r>
    </w:p>
    <w:p>
      <w:pPr>
        <w:spacing w:after="150" w:before="0"/>
        <w:jc w:val="both"/>
      </w:pPr>
      <w:r>
        <w:rPr>
          <w:rFonts w:ascii="Calibri" w:cs="Calibri" w:eastAsia="Calibri" w:hAnsi="Calibri"/>
          <w:color w:val="333333"/>
          <w:sz w:val="22"/>
          <w:szCs w:val="22"/>
        </w:rPr>
        <w:t xml:space="preserve">All changes to in-scope systems shall begin with a documented change request including: description of the change, business justification or defect reference, systems and modules affected, risk level (low, medium, high), and requestor and priority.</w:t>
      </w:r>
    </w:p>
    <w:p>
      <w:pPr>
        <w:pStyle w:val="Heading3"/>
        <w:spacing w:after="100" w:before="200"/>
      </w:pPr>
      <w:r>
        <w:rPr>
          <w:rFonts w:ascii="Georgia" w:cs="Georgia" w:eastAsia="Georgia" w:hAnsi="Georgia"/>
          <w:b/>
          <w:bCs/>
          <w:color w:val="444444"/>
          <w:sz w:val="22"/>
          <w:szCs w:val="22"/>
        </w:rPr>
        <w:t xml:space="preserve">5.1.2 Development and Testing</w:t>
      </w:r>
    </w:p>
    <w:p>
      <w:pPr>
        <w:spacing w:after="150" w:before="0"/>
        <w:jc w:val="both"/>
      </w:pPr>
      <w:r>
        <w:rPr>
          <w:rFonts w:ascii="Calibri" w:cs="Calibri" w:eastAsia="Calibri" w:hAnsi="Calibri"/>
          <w:color w:val="333333"/>
          <w:sz w:val="22"/>
          <w:szCs w:val="22"/>
        </w:rPr>
        <w:t xml:space="preserve">Changes shall be developed and tested in a non-production environment. Testing shall include: unit testing by the developer, integration testing for changes affecting multiple systems or interfaces, user acceptance testing (UAT) by the business for significant changes, and regression testing to confirm existing functionality is not affected. Test results shall be documented and approved before migration.</w:t>
      </w:r>
    </w:p>
    <w:p>
      <w:pPr>
        <w:pStyle w:val="Heading3"/>
        <w:spacing w:after="100" w:before="200"/>
      </w:pPr>
      <w:r>
        <w:rPr>
          <w:rFonts w:ascii="Georgia" w:cs="Georgia" w:eastAsia="Georgia" w:hAnsi="Georgia"/>
          <w:b/>
          <w:bCs/>
          <w:color w:val="444444"/>
          <w:sz w:val="22"/>
          <w:szCs w:val="22"/>
        </w:rPr>
        <w:t xml:space="preserve">5.1.3 Approval and Migration</w:t>
      </w:r>
    </w:p>
    <w:p>
      <w:pPr>
        <w:spacing w:after="150" w:before="0"/>
        <w:jc w:val="both"/>
      </w:pPr>
      <w:r>
        <w:rPr>
          <w:rFonts w:ascii="Calibri" w:cs="Calibri" w:eastAsia="Calibri" w:hAnsi="Calibri"/>
          <w:color w:val="333333"/>
          <w:sz w:val="22"/>
          <w:szCs w:val="22"/>
        </w:rPr>
        <w:t xml:space="preserve">Production migration requires approval from an individual who did not develop the change. For high-risk changes, the Change Advisory Board (CAB) shall review and approve. Migration shall be performed by an individual with production migration access who was not the developer (enforcing segregation of development and migration duties). Emergency changes that bypass the normal process require: verbal approval from the IT Director or CTO, documented within [24] hours, and retroactive testing and approval within [5] business days.</w:t>
      </w:r>
    </w:p>
    <w:p>
      <w:pPr>
        <w:pStyle w:val="Heading2"/>
        <w:spacing w:after="150" w:before="300"/>
      </w:pPr>
      <w:r>
        <w:rPr>
          <w:rFonts w:ascii="Georgia" w:cs="Georgia" w:eastAsia="Georgia" w:hAnsi="Georgia"/>
          <w:b/>
          <w:bCs/>
          <w:color w:val="333333"/>
          <w:sz w:val="26"/>
          <w:szCs w:val="26"/>
        </w:rPr>
        <w:t xml:space="preserve">5.2 Access Control Procedures</w:t>
      </w:r>
    </w:p>
    <w:p>
      <w:pPr>
        <w:spacing w:after="150" w:before="0"/>
        <w:jc w:val="both"/>
      </w:pPr>
      <w:r>
        <w:rPr>
          <w:rFonts w:ascii="Calibri" w:cs="Calibri" w:eastAsia="Calibri" w:hAnsi="Calibri"/>
          <w:color w:val="333333"/>
          <w:sz w:val="22"/>
          <w:szCs w:val="22"/>
        </w:rPr>
        <w:t xml:space="preserve">Access control procedures for in-scope systems are detailed in the Financial Systems Access Control Policy. ITGC-specific requirements include: developer access to production shall be read-only (no ability to modify production data or code directly), database administrator activities in production shall be logged and reviewed, and system administrator access shall be limited to named individuals with quarterly recertification.</w:t>
      </w:r>
    </w:p>
    <w:p>
      <w:pPr>
        <w:pStyle w:val="Heading2"/>
        <w:spacing w:after="150" w:before="300"/>
      </w:pPr>
      <w:r>
        <w:rPr>
          <w:rFonts w:ascii="Georgia" w:cs="Georgia" w:eastAsia="Georgia" w:hAnsi="Georgia"/>
          <w:b/>
          <w:bCs/>
          <w:color w:val="333333"/>
          <w:sz w:val="26"/>
          <w:szCs w:val="26"/>
        </w:rPr>
        <w:t xml:space="preserve">5.3 Computer Operations</w:t>
      </w:r>
    </w:p>
    <w:p>
      <w:pPr>
        <w:pStyle w:val="Heading3"/>
        <w:spacing w:after="100" w:before="200"/>
      </w:pPr>
      <w:r>
        <w:rPr>
          <w:rFonts w:ascii="Georgia" w:cs="Georgia" w:eastAsia="Georgia" w:hAnsi="Georgia"/>
          <w:b/>
          <w:bCs/>
          <w:color w:val="444444"/>
          <w:sz w:val="22"/>
          <w:szCs w:val="22"/>
        </w:rPr>
        <w:t xml:space="preserve">5.3.1 Batch Job Monitoring</w:t>
      </w:r>
    </w:p>
    <w:p>
      <w:pPr>
        <w:spacing w:after="150" w:before="0"/>
        <w:jc w:val="both"/>
      </w:pPr>
      <w:r>
        <w:rPr>
          <w:rFonts w:ascii="Calibri" w:cs="Calibri" w:eastAsia="Calibri" w:hAnsi="Calibri"/>
          <w:color w:val="333333"/>
          <w:sz w:val="22"/>
          <w:szCs w:val="22"/>
        </w:rPr>
        <w:t xml:space="preserve">All automated batch jobs for in-scope systems shall be: scheduled and managed through a centralized job scheduler, monitored for successful completion with automated alerting for failures, documented with error handling and restart procedures, and reviewed daily by IT operations (exception-based — focus on failures and anomalies).</w:t>
      </w:r>
    </w:p>
    <w:p>
      <w:pPr>
        <w:pStyle w:val="Heading3"/>
        <w:spacing w:after="100" w:before="200"/>
      </w:pPr>
      <w:r>
        <w:rPr>
          <w:rFonts w:ascii="Georgia" w:cs="Georgia" w:eastAsia="Georgia" w:hAnsi="Georgia"/>
          <w:b/>
          <w:bCs/>
          <w:color w:val="444444"/>
          <w:sz w:val="22"/>
          <w:szCs w:val="22"/>
        </w:rPr>
        <w:t xml:space="preserve">5.3.2 Backup and Recovery</w:t>
      </w:r>
    </w:p>
    <w:p>
      <w:pPr>
        <w:spacing w:after="150" w:before="0"/>
        <w:jc w:val="both"/>
      </w:pPr>
      <w:r>
        <w:rPr>
          <w:rFonts w:ascii="Calibri" w:cs="Calibri" w:eastAsia="Calibri" w:hAnsi="Calibri"/>
          <w:color w:val="333333"/>
          <w:sz w:val="22"/>
          <w:szCs w:val="22"/>
        </w:rPr>
        <w:t xml:space="preserve">Data backup shall be performed: daily incremental backups for all in-scope systems, weekly full backups, backups stored in a secondary location (offsite or cloud), backup encryption for sensitive financial data, and annual disaster recovery testing confirming successful restoration of financial systems within the defined RTO/RPO.</w:t>
      </w:r>
    </w:p>
    <w:p>
      <w:pPr>
        <w:pStyle w:val="Heading3"/>
        <w:spacing w:after="100" w:before="200"/>
      </w:pPr>
      <w:r>
        <w:rPr>
          <w:rFonts w:ascii="Georgia" w:cs="Georgia" w:eastAsia="Georgia" w:hAnsi="Georgia"/>
          <w:b/>
          <w:bCs/>
          <w:color w:val="444444"/>
          <w:sz w:val="22"/>
          <w:szCs w:val="22"/>
        </w:rPr>
        <w:t xml:space="preserve">5.3.3 Patch Management</w:t>
      </w:r>
    </w:p>
    <w:p>
      <w:pPr>
        <w:spacing w:after="150" w:before="0"/>
        <w:jc w:val="both"/>
      </w:pPr>
      <w:r>
        <w:rPr>
          <w:rFonts w:ascii="Calibri" w:cs="Calibri" w:eastAsia="Calibri" w:hAnsi="Calibri"/>
          <w:color w:val="333333"/>
          <w:sz w:val="22"/>
          <w:szCs w:val="22"/>
        </w:rPr>
        <w:t xml:space="preserve">Security patches for in-scope systems shall be: evaluated within [7] days of release, tested in non-production within [14] days (for critical patches), applied to production within [30] days (standard) or [14] days (critical), and documented with testing results and approval. Patches that cannot be applied within the standard timeline require a documented exception with compensating controls.</w:t>
      </w:r>
    </w:p>
    <w:p>
      <w:pPr>
        <w:pStyle w:val="Heading2"/>
        <w:spacing w:after="150" w:before="300"/>
      </w:pPr>
      <w:r>
        <w:rPr>
          <w:rFonts w:ascii="Georgia" w:cs="Georgia" w:eastAsia="Georgia" w:hAnsi="Georgia"/>
          <w:b/>
          <w:bCs/>
          <w:color w:val="333333"/>
          <w:sz w:val="26"/>
          <w:szCs w:val="26"/>
        </w:rPr>
        <w:t xml:space="preserve">5.4 Third-Party IT Service Providers</w:t>
      </w:r>
    </w:p>
    <w:p>
      <w:pPr>
        <w:spacing w:after="150" w:before="0"/>
        <w:jc w:val="both"/>
      </w:pPr>
      <w:r>
        <w:rPr>
          <w:rFonts w:ascii="Calibri" w:cs="Calibri" w:eastAsia="Calibri" w:hAnsi="Calibri"/>
          <w:color w:val="333333"/>
          <w:sz w:val="22"/>
          <w:szCs w:val="22"/>
        </w:rPr>
        <w:t xml:space="preserve">For outsourced IT services supporting financial applications (cloud ERP, SaaS platforms, managed hosting):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Obtain and review SOC 1 or SOC 2 Type II reports annually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Evaluate report exceptions and their potential impact on [Company Name]'s controls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Implement all Complementary User Entity Controls (CUECs) identified in the SOC report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Monitor service performance against SLA commitments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the right to audit provisions in the service agreement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ITGC Action</w:t>
            </w:r>
          </w:p>
        </w:tc>
        <w:tc>
          <w:tcPr>
            <w:tcW w:type="dxa" w:w="2400"/>
            <w:shd w:fill="0C0C0C" w:val="clear"/>
          </w:tcPr>
          <w:p>
            <w:pPr>
              <w:spacing w:after="60" w:before="60"/>
            </w:pPr>
            <w:r>
              <w:rPr>
                <w:rFonts w:ascii="Calibri" w:cs="Calibri" w:eastAsia="Calibri" w:hAnsi="Calibri"/>
                <w:b/>
                <w:bCs/>
                <w:color w:val="D4AF37"/>
                <w:sz w:val="20"/>
                <w:szCs w:val="20"/>
              </w:rPr>
              <w:t xml:space="preserve">Risk Level</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Standard change (low risk)</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Low</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Change Manager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Significant change (medium risk)</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Medium</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Change Manager + Application Owner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Major change (high risk)</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High</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Change Advisory Board</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Emergency change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Critical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IT Director (verbal) + retroactive CAB review</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Production access grant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CISO + 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Patch deferral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CISO + IT Director (documented exception)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SOC report exception acceptance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SOX Program Manager + Controller</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ITGC exceptions (e.g., developer with production access, missed patch deadline, failed backup) shall be documented with root cause and remediation plan. Exceptions that could affect ICFR shall be evaluated for deficiency severity by the SOX Program Manager. ITGC deficiencies that are significant deficiencies or material weaknesses shall be escalated to the CFO and reported to the Audit Committee.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Continuous monitoring: automated alerts for change management bypasses, access violations, and batch job failures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privileged access activity review, patch compliance report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access recertification, emergency change review, backup test verification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Semi-annually: walk-through of all ITGC processes for documentation currency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Annually: full ITGC testing cycle for SOX</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Change management compliance (% through formal process)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Emergency changes (% of total)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&lt; [5%]</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Access deprovisioning within policy timeline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Backup success rate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&gt; [99%]</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Patch compliance (critical patches within 14 days)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SOC report exceptions reviewed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ITGC audit findings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Zero material/significant</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Systems Access Control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Segregation of Duties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Internal Controls &amp; SOX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Cybersecurity (Finance)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Vendor Management Policy (for SOC report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Business Continuity (Finance)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PCAOB AS 2201 (Auditing Internal Control)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COBIT Framework (IT Governance)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Change Management Ticket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Change ID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System-assigned unique identifier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Description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What is being changed and why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Systems Affected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List of applications, databases, interfaces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Risk Level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Low / Medium / High</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Developer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of the individual making the change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Test Results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Summary and sign-off</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date (must be different from developer)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Migration Date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Scheduled production deployment date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Post-Implementation Verification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Confirmation that change works as expected in production</w:t>
            </w:r>
          </w:p>
        </w:tc>
      </w:tr>
    </w:tbl>
    <w:p>
      <w:pPr>
        <w:pStyle w:val="Heading2"/>
        <w:spacing w:after="150" w:before="300"/>
      </w:pPr>
      <w:r>
        <w:rPr>
          <w:rFonts w:ascii="Georgia" w:cs="Georgia" w:eastAsia="Georgia" w:hAnsi="Georgia"/>
          <w:b/>
          <w:bCs/>
          <w:color w:val="333333"/>
          <w:sz w:val="26"/>
          <w:szCs w:val="26"/>
        </w:rPr>
        <w:t xml:space="preserve">Appendix B — In-Scope System Inventory</w:t>
      </w:r>
    </w:p>
    <w:p>
      <w:pPr>
        <w:spacing w:after="150" w:before="0"/>
        <w:jc w:val="both"/>
      </w:pPr>
      <w:r>
        <w:rPr>
          <w:rFonts w:ascii="Calibri" w:cs="Calibri" w:eastAsia="Calibri" w:hAnsi="Calibri"/>
          <w:color w:val="333333"/>
          <w:sz w:val="22"/>
          <w:szCs w:val="22"/>
        </w:rPr>
        <w:t xml:space="preserve">The SOX Program Manager maintains the inventory of in-scope systems including: system name, application owner, IT owner, hosting model (on-premise, cloud, SaaS), SOC report availability, last ITGC test date, and known ITGC issues.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IT General Controls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2026-07-13T07:52:25.986Z</dcterms:created>
  <dcterms:modified xsi:type="dcterms:W3CDTF">2026-07-13T07:52:25.986Z</dcterms:modified>
</cp:coreProperties>
</file>

<file path=docProps/custom.xml><?xml version="1.0" encoding="utf-8"?>
<Properties xmlns="http://schemas.openxmlformats.org/officeDocument/2006/custom-properties" xmlns:vt="http://schemas.openxmlformats.org/officeDocument/2006/docPropsVTypes"/>
</file>