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Data Governance &amp; Financial Data Quality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Data Governance and Financial Data Quality Policy establishes the framework for managing financial data as a strategic asset at [Company Name]. The policy ensures that financial data is accurate, complete, timely, consistent, and accessible to authorized users, supporting reliable financial reporting, informed decision-making, and regulatory compliance.</w:t>
      </w:r>
    </w:p>
    <w:p>
      <w:pPr>
        <w:spacing w:after="150" w:before="0"/>
        <w:jc w:val="both"/>
      </w:pPr>
      <w:r>
        <w:rPr>
          <w:rFonts w:ascii="Calibri" w:cs="Calibri" w:eastAsia="Calibri" w:hAnsi="Calibri"/>
          <w:color w:val="333333"/>
          <w:sz w:val="22"/>
          <w:szCs w:val="22"/>
        </w:rPr>
        <w:t xml:space="preserve">This policy applies to all financial data created, processed, stored, and reported by [Company Name], including transactional data in the ERP, master data (customer, vendor, employee, product), reference data (chart of accounts, exchange rates, tax rates), reporting data (data warehouses, BI platforms), and analytical data (models, forecasts, scenarios).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ownership and accountability for financial data quality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and enforce data quality standards across all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Implement data governance processes that prevent quality degradation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confident decision-making through trustworthy financial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regulatory compliance through complete and auditable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Reduce the cost of poor data quality (rework, errors, reconciliation effort)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Governance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framework of policies, processes, roles, and metrics that ensures data is managed as a strategic asset.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Quality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degree to which data meets the requirements of its intended use, measured across defined dimensions.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Owner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business executive accountable for the quality and proper use of a specific data domain.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Steward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responsible for day-to-day data quality management within a data domain.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Custodian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IT function responsible for the technical management and security of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Master Data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Core business data that is shared across multiple systems and processes (customer, vendor, product, employee).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Lineage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documentation of data's origin, transformations, and movement through systems from source to consumption.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Catalog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centralized repository of metadata describing available data assets, their definitions, owners, and quality metrics.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Quality Dimensions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measurable aspects of data quality: accuracy, completeness, timeliness, consistency, uniqueness, and validity.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Golden Record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single, authoritative version of a master data entity, reconciled from all source systems.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Data Quality Dimensions</w:t>
      </w:r>
    </w:p>
    <w:p>
      <w:pPr>
        <w:spacing w:after="150" w:before="0"/>
        <w:jc w:val="both"/>
      </w:pPr>
      <w:r>
        <w:rPr>
          <w:rFonts w:ascii="Calibri" w:cs="Calibri" w:eastAsia="Calibri" w:hAnsi="Calibri"/>
          <w:color w:val="333333"/>
          <w:sz w:val="22"/>
          <w:szCs w:val="22"/>
        </w:rPr>
        <w:t xml:space="preserve">[Company Name] shall measure and manage financial data quality across six dimensions: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Dimension</w:t>
            </w:r>
          </w:p>
        </w:tc>
        <w:tc>
          <w:tcPr>
            <w:tcW w:type="dxa" w:w="6160"/>
            <w:shd w:fill="0C0C0C" w:val="clear"/>
          </w:tcPr>
          <w:p>
            <w:pPr>
              <w:spacing w:after="60" w:before="60"/>
            </w:pPr>
            <w:r>
              <w:rPr>
                <w:rFonts w:ascii="Calibri" w:cs="Calibri" w:eastAsia="Calibri" w:hAnsi="Calibri"/>
                <w:b/>
                <w:bCs/>
                <w:color w:val="D4AF37"/>
                <w:sz w:val="20"/>
                <w:szCs w:val="20"/>
              </w:rPr>
              <w:t xml:space="preserve">Standard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Data correctly represents the real-world entity or event it describes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Completeness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All required data fields are populated with valid values; no missing critical data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Timeliness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Data is available when needed for reporting and decision-making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Consistency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same data element has the same value across all systems where it appears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Uniqueness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Each real-world entity is represented exactly once (no duplicates)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Validity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Data conforms to defined formats, ranges, and business rules</w:t>
            </w:r>
          </w:p>
        </w:tc>
      </w:tr>
    </w:tbl>
    <w:p>
      <w:pPr>
        <w:pStyle w:val="Heading2"/>
        <w:spacing w:after="150" w:before="300"/>
      </w:pPr>
      <w:r>
        <w:rPr>
          <w:rFonts w:ascii="Georgia" w:cs="Georgia" w:eastAsia="Georgia" w:hAnsi="Georgia"/>
          <w:b/>
          <w:bCs/>
          <w:color w:val="333333"/>
          <w:sz w:val="26"/>
          <w:szCs w:val="26"/>
        </w:rPr>
        <w:t xml:space="preserve">3.2 Data Ownership</w:t>
      </w:r>
    </w:p>
    <w:p>
      <w:pPr>
        <w:spacing w:after="150" w:before="0"/>
        <w:jc w:val="both"/>
      </w:pPr>
      <w:r>
        <w:rPr>
          <w:rFonts w:ascii="Calibri" w:cs="Calibri" w:eastAsia="Calibri" w:hAnsi="Calibri"/>
          <w:color w:val="333333"/>
          <w:sz w:val="22"/>
          <w:szCs w:val="22"/>
        </w:rPr>
        <w:t xml:space="preserve">Every critical data domain shall have a designated Data Owner (a senior business leader) who is accountable for: defining data quality standards for their domain, approving data governance rules and processes, resolving data quality issues and disputes, and reporting data quality metrics to the CFO. Data Stewards support Data Owners with day-to-day data quality management.</w:t>
      </w:r>
    </w:p>
    <w:p>
      <w:pPr>
        <w:pStyle w:val="Heading2"/>
        <w:spacing w:after="150" w:before="300"/>
      </w:pPr>
      <w:r>
        <w:rPr>
          <w:rFonts w:ascii="Georgia" w:cs="Georgia" w:eastAsia="Georgia" w:hAnsi="Georgia"/>
          <w:b/>
          <w:bCs/>
          <w:color w:val="333333"/>
          <w:sz w:val="26"/>
          <w:szCs w:val="26"/>
        </w:rPr>
        <w:t xml:space="preserve">3.3 Master Data Management</w:t>
      </w:r>
    </w:p>
    <w:p>
      <w:pPr>
        <w:spacing w:after="150" w:before="0"/>
        <w:jc w:val="both"/>
      </w:pPr>
      <w:r>
        <w:rPr>
          <w:rFonts w:ascii="Calibri" w:cs="Calibri" w:eastAsia="Calibri" w:hAnsi="Calibri"/>
          <w:color w:val="333333"/>
          <w:sz w:val="22"/>
          <w:szCs w:val="22"/>
        </w:rPr>
        <w:t xml:space="preserve">[Company Name] shall maintain a single source of truth (golden record) for each master data domain. Master data changes shall follow a controlled process with: request, validation, approval, and implementation. Duplicate master data records shall be identified and merged. Cross-system master data synchronization shall be automated where possible and reconciled where not.</w:t>
      </w:r>
    </w:p>
    <w:p>
      <w:pPr>
        <w:pStyle w:val="Heading2"/>
        <w:spacing w:after="150" w:before="300"/>
      </w:pPr>
      <w:r>
        <w:rPr>
          <w:rFonts w:ascii="Georgia" w:cs="Georgia" w:eastAsia="Georgia" w:hAnsi="Georgia"/>
          <w:b/>
          <w:bCs/>
          <w:color w:val="333333"/>
          <w:sz w:val="26"/>
          <w:szCs w:val="26"/>
        </w:rPr>
        <w:t xml:space="preserve">3.4 Data Quality at the Source</w:t>
      </w:r>
    </w:p>
    <w:p>
      <w:pPr>
        <w:spacing w:after="150" w:before="0"/>
        <w:jc w:val="both"/>
      </w:pPr>
      <w:r>
        <w:rPr>
          <w:rFonts w:ascii="Calibri" w:cs="Calibri" w:eastAsia="Calibri" w:hAnsi="Calibri"/>
          <w:color w:val="333333"/>
          <w:sz w:val="22"/>
          <w:szCs w:val="22"/>
        </w:rPr>
        <w:t xml:space="preserve">Data quality shall be enforced at the point of entry rather than corrected downstream. System validation rules shall prevent: incomplete records (mandatory fields enforced), invalid values (format and range checking), duplicate entries (real-time duplicate detection), and unauthorized changes (approval workflows for sensitive data).</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Sponsors the data governance program. Allocates resources. Reviews data quality metrics.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Chief Data Officer / Data Gov Lead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data governance framework. Facilitates data governance council. Maintains the data catalog.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Owners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Accountable for data quality in their domain. Approve data governance rules. Resolve cross-functional data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Stewards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 day-to-day data quality. Monitor quality metrics. Investigate and resolve data issues. Maintain business glossary entries.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Custodians (IT)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Implement technical data quality controls. Manage database systems. Ensure data security and backup.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financial data quality supports accurate reporting. Reviews data quality impact on financial statements.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data governance controls. Evaluates data quality metrics. Reports findings to the Audit Committee.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Data Governance Council</w:t>
      </w:r>
    </w:p>
    <w:p>
      <w:pPr>
        <w:spacing w:after="150" w:before="0"/>
        <w:jc w:val="both"/>
      </w:pPr>
      <w:r>
        <w:rPr>
          <w:rFonts w:ascii="Calibri" w:cs="Calibri" w:eastAsia="Calibri" w:hAnsi="Calibri"/>
          <w:color w:val="333333"/>
          <w:sz w:val="22"/>
          <w:szCs w:val="22"/>
        </w:rPr>
        <w:t xml:space="preserve">[Company Name] shall establish a Data Governance Council comprising Data Owners from each critical domain (Finance, Sales, HR, Operations, IT). The Council shall meet [monthly / quarterly] to: review data quality metrics and trends, prioritize data quality improvement initiatives, resolve cross-domain data issues, approve data governance policies and standards, and review data-related incidents and root causes.</w:t>
      </w:r>
    </w:p>
    <w:p>
      <w:pPr>
        <w:pStyle w:val="Heading2"/>
        <w:spacing w:after="150" w:before="300"/>
      </w:pPr>
      <w:r>
        <w:rPr>
          <w:rFonts w:ascii="Georgia" w:cs="Georgia" w:eastAsia="Georgia" w:hAnsi="Georgia"/>
          <w:b/>
          <w:bCs/>
          <w:color w:val="333333"/>
          <w:sz w:val="26"/>
          <w:szCs w:val="26"/>
        </w:rPr>
        <w:t xml:space="preserve">5.2 Master Data Governance</w:t>
      </w:r>
    </w:p>
    <w:p>
      <w:pPr>
        <w:pStyle w:val="Heading3"/>
        <w:spacing w:after="100" w:before="200"/>
      </w:pPr>
      <w:r>
        <w:rPr>
          <w:rFonts w:ascii="Georgia" w:cs="Georgia" w:eastAsia="Georgia" w:hAnsi="Georgia"/>
          <w:b/>
          <w:bCs/>
          <w:color w:val="444444"/>
          <w:sz w:val="22"/>
          <w:szCs w:val="22"/>
        </w:rPr>
        <w:t xml:space="preserve">5.2.1 Customer Master</w:t>
      </w:r>
    </w:p>
    <w:p>
      <w:pPr>
        <w:spacing w:after="150" w:before="0"/>
        <w:jc w:val="both"/>
      </w:pPr>
      <w:r>
        <w:rPr>
          <w:rFonts w:ascii="Calibri" w:cs="Calibri" w:eastAsia="Calibri" w:hAnsi="Calibri"/>
          <w:color w:val="333333"/>
          <w:sz w:val="22"/>
          <w:szCs w:val="22"/>
        </w:rPr>
        <w:t xml:space="preserve">Customer master data shall be governed by the following controls: new customer creation requires standard minimum fields (legal name, tax ID, billing address, credit terms, payment method), duplicate checking before record creation (automated matching on name and address), changes to critical fields (name, tax ID, bank details) require dual approval, and annual customer master cleanup to identify and merge duplicates.</w:t>
      </w:r>
    </w:p>
    <w:p>
      <w:pPr>
        <w:pStyle w:val="Heading3"/>
        <w:spacing w:after="100" w:before="200"/>
      </w:pPr>
      <w:r>
        <w:rPr>
          <w:rFonts w:ascii="Georgia" w:cs="Georgia" w:eastAsia="Georgia" w:hAnsi="Georgia"/>
          <w:b/>
          <w:bCs/>
          <w:color w:val="444444"/>
          <w:sz w:val="22"/>
          <w:szCs w:val="22"/>
        </w:rPr>
        <w:t xml:space="preserve">5.2.2 Vendor Master</w:t>
      </w:r>
    </w:p>
    <w:p>
      <w:pPr>
        <w:spacing w:after="150" w:before="0"/>
        <w:jc w:val="both"/>
      </w:pPr>
      <w:r>
        <w:rPr>
          <w:rFonts w:ascii="Calibri" w:cs="Calibri" w:eastAsia="Calibri" w:hAnsi="Calibri"/>
          <w:color w:val="333333"/>
          <w:sz w:val="22"/>
          <w:szCs w:val="22"/>
        </w:rPr>
        <w:t xml:space="preserve">Vendor master data governance follows the same principles as customer master with additional controls for: W-9/W-8BEN collection and validation, bank detail verification (independent callback), OFAC screening for international vendors, and 1099 classification validation. (See also the Accounts Payable Policy for detailed vendor onboarding procedures.)</w:t>
      </w:r>
    </w:p>
    <w:p>
      <w:pPr>
        <w:pStyle w:val="Heading3"/>
        <w:spacing w:after="100" w:before="200"/>
      </w:pPr>
      <w:r>
        <w:rPr>
          <w:rFonts w:ascii="Georgia" w:cs="Georgia" w:eastAsia="Georgia" w:hAnsi="Georgia"/>
          <w:b/>
          <w:bCs/>
          <w:color w:val="444444"/>
          <w:sz w:val="22"/>
          <w:szCs w:val="22"/>
        </w:rPr>
        <w:t xml:space="preserve">5.2.3 Chart of Accounts</w:t>
      </w:r>
    </w:p>
    <w:p>
      <w:pPr>
        <w:spacing w:after="150" w:before="0"/>
        <w:jc w:val="both"/>
      </w:pPr>
      <w:r>
        <w:rPr>
          <w:rFonts w:ascii="Calibri" w:cs="Calibri" w:eastAsia="Calibri" w:hAnsi="Calibri"/>
          <w:color w:val="333333"/>
          <w:sz w:val="22"/>
          <w:szCs w:val="22"/>
        </w:rPr>
        <w:t xml:space="preserve">COA master data governance is detailed in the Chart of Accounts &amp; GL Maintenance Policy. Key controls include: Controller approval for all changes, annual review for dormant accounts, and standardized naming and numbering conventions.</w:t>
      </w:r>
    </w:p>
    <w:p>
      <w:pPr>
        <w:pStyle w:val="Heading2"/>
        <w:spacing w:after="150" w:before="300"/>
      </w:pPr>
      <w:r>
        <w:rPr>
          <w:rFonts w:ascii="Georgia" w:cs="Georgia" w:eastAsia="Georgia" w:hAnsi="Georgia"/>
          <w:b/>
          <w:bCs/>
          <w:color w:val="333333"/>
          <w:sz w:val="26"/>
          <w:szCs w:val="26"/>
        </w:rPr>
        <w:t xml:space="preserve">5.3 Data Quality Monitoring</w:t>
      </w:r>
    </w:p>
    <w:p>
      <w:pPr>
        <w:pStyle w:val="Heading3"/>
        <w:spacing w:after="100" w:before="200"/>
      </w:pPr>
      <w:r>
        <w:rPr>
          <w:rFonts w:ascii="Georgia" w:cs="Georgia" w:eastAsia="Georgia" w:hAnsi="Georgia"/>
          <w:b/>
          <w:bCs/>
          <w:color w:val="444444"/>
          <w:sz w:val="22"/>
          <w:szCs w:val="22"/>
        </w:rPr>
        <w:t xml:space="preserve">5.3.1 Automated Data Quality Rules</w:t>
      </w:r>
    </w:p>
    <w:p>
      <w:pPr>
        <w:spacing w:after="150" w:before="0"/>
        <w:jc w:val="both"/>
      </w:pPr>
      <w:r>
        <w:rPr>
          <w:rFonts w:ascii="Calibri" w:cs="Calibri" w:eastAsia="Calibri" w:hAnsi="Calibri"/>
          <w:color w:val="333333"/>
          <w:sz w:val="22"/>
          <w:szCs w:val="22"/>
        </w:rPr>
        <w:t xml:space="preserve">[Company Name] shall implement automated data quality rules that run continuously or at defined intervals: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Completeness checks: mandatory field population rates by data domain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Validity checks: format compliance, range checking, referential integrity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Uniqueness checks: duplicate detection scoring and alerting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Consistency checks: cross-system reconciliation (ERP to CRM, ERP to data warehouse)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Timeliness checks: data refresh latency monitoring</w:t>
      </w:r>
    </w:p>
    <w:p>
      <w:pPr>
        <w:pStyle w:val="Heading3"/>
        <w:spacing w:after="100" w:before="200"/>
      </w:pPr>
      <w:r>
        <w:rPr>
          <w:rFonts w:ascii="Georgia" w:cs="Georgia" w:eastAsia="Georgia" w:hAnsi="Georgia"/>
          <w:b/>
          <w:bCs/>
          <w:color w:val="444444"/>
          <w:sz w:val="22"/>
          <w:szCs w:val="22"/>
        </w:rPr>
        <w:t xml:space="preserve">5.3.2 Data Quality Dashboard</w:t>
      </w:r>
    </w:p>
    <w:p>
      <w:pPr>
        <w:spacing w:after="150" w:before="0"/>
        <w:jc w:val="both"/>
      </w:pPr>
      <w:r>
        <w:rPr>
          <w:rFonts w:ascii="Calibri" w:cs="Calibri" w:eastAsia="Calibri" w:hAnsi="Calibri"/>
          <w:color w:val="333333"/>
          <w:sz w:val="22"/>
          <w:szCs w:val="22"/>
        </w:rPr>
        <w:t xml:space="preserve">The Data Governance Lead shall maintain a data quality dashboard showing: quality scores by domain and dimension, trend analysis (improving or degrading), issue counts by severity and status, and compliance with data quality SLAs.</w:t>
      </w:r>
    </w:p>
    <w:p>
      <w:pPr>
        <w:pStyle w:val="Heading2"/>
        <w:spacing w:after="150" w:before="300"/>
      </w:pPr>
      <w:r>
        <w:rPr>
          <w:rFonts w:ascii="Georgia" w:cs="Georgia" w:eastAsia="Georgia" w:hAnsi="Georgia"/>
          <w:b/>
          <w:bCs/>
          <w:color w:val="333333"/>
          <w:sz w:val="26"/>
          <w:szCs w:val="26"/>
        </w:rPr>
        <w:t xml:space="preserve">5.4 Data Lineage and Catalog</w:t>
      </w:r>
    </w:p>
    <w:p>
      <w:pPr>
        <w:spacing w:after="150" w:before="0"/>
        <w:jc w:val="both"/>
      </w:pPr>
      <w:r>
        <w:rPr>
          <w:rFonts w:ascii="Calibri" w:cs="Calibri" w:eastAsia="Calibri" w:hAnsi="Calibri"/>
          <w:color w:val="333333"/>
          <w:sz w:val="22"/>
          <w:szCs w:val="22"/>
        </w:rPr>
        <w:t xml:space="preserve">[Company Name] shall maintain: a data catalog documenting all financial data assets (tables, reports, metrics) with definitions, owners, and quality scores, and data lineage documentation showing how data flows from source systems through transformations to reporting outputs. Data lineage is critical for impact analysis when systems change and for audit trail requirements.</w:t>
      </w:r>
    </w:p>
    <w:p>
      <w:pPr>
        <w:pStyle w:val="Heading2"/>
        <w:spacing w:after="150" w:before="300"/>
      </w:pPr>
      <w:r>
        <w:rPr>
          <w:rFonts w:ascii="Georgia" w:cs="Georgia" w:eastAsia="Georgia" w:hAnsi="Georgia"/>
          <w:b/>
          <w:bCs/>
          <w:color w:val="333333"/>
          <w:sz w:val="26"/>
          <w:szCs w:val="26"/>
        </w:rPr>
        <w:t xml:space="preserve">5.5 Data Issue Management</w:t>
      </w:r>
    </w:p>
    <w:p>
      <w:pPr>
        <w:spacing w:after="150" w:before="0"/>
        <w:jc w:val="both"/>
      </w:pPr>
      <w:r>
        <w:rPr>
          <w:rFonts w:ascii="Calibri" w:cs="Calibri" w:eastAsia="Calibri" w:hAnsi="Calibri"/>
          <w:color w:val="333333"/>
          <w:sz w:val="22"/>
          <w:szCs w:val="22"/>
        </w:rPr>
        <w:t xml:space="preserve">Data quality issues shall be managed through a structured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Issue identified (automated monitoring, user report, audit finding)</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Issue logged in the data quality issue tracker with: description, severity, affected domain, and impact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Data Steward investigates root cause within [5] business days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Corrective action implemented (data fix and process/control improvement)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Root cause documented to prevent recurrence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Issue closed with verification that the fix is effective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Data Governance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Master data creation (customer, vendor)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Data Steward creates, Manager approves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Master data critical field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Dual approval (Steward + Manager or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Data quality rule creation / modification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Data Owner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Data governance policy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Data Governance Council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Data quality exception (below-standard data accepted)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Data Owner with documented justification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data source integration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Data Governance Lead + IT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Data retention / deletion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Record Retention Policy</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Data quality issues that cannot be resolved by the Data Steward within [5] business days shall be escalated to the Data Owner. Issues affecting financial reporting accuracy shall be escalated to the Controller immediately. Cross-domain data issues requiring coordination between multiple Data Owners shall be escalated to the Data Governance Council. Systemic data quality failures (affecting &gt;5% of records in a domain) shall be reported to the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automated data quality monitoring (completeness, validity, uniqueness)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data quality scorecard by domain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Data Governance Council review of metrics and issues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data governance maturity assessment (DAMA DMBOK or DCAM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internal audit of data governance controls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Master data accuracy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[99%]</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Duplicate record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[1%]</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quality issue resolution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business days (average)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Cross-system consistency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[99%]</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Data catalog coverage (% of financial data assets documented)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quality 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Data Stewards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Chart of Accounts &amp; GL Maintenance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Privacy &amp; Data Protection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Record Retention &amp; Document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DAMA DMBOK (Data Management Body of Knowledge)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DCAM (Data Management Capability Assessment Model)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Data Domain Ownership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Data Domain</w:t>
            </w:r>
          </w:p>
        </w:tc>
        <w:tc>
          <w:tcPr>
            <w:tcW w:type="dxa" w:w="2400"/>
            <w:shd w:fill="0C0C0C" w:val="clear"/>
          </w:tcPr>
          <w:p>
            <w:pPr>
              <w:spacing w:after="60" w:before="60"/>
            </w:pPr>
            <w:r>
              <w:rPr>
                <w:rFonts w:ascii="Calibri" w:cs="Calibri" w:eastAsia="Calibri" w:hAnsi="Calibri"/>
                <w:b/>
                <w:bCs/>
                <w:color w:val="D4AF37"/>
                <w:sz w:val="20"/>
                <w:szCs w:val="20"/>
              </w:rPr>
              <w:t xml:space="preserve">Data Owner</w:t>
            </w:r>
          </w:p>
        </w:tc>
        <w:tc>
          <w:tcPr>
            <w:tcW w:type="dxa" w:w="4560"/>
            <w:shd w:fill="0C0C0C" w:val="clear"/>
          </w:tcPr>
          <w:p>
            <w:pPr>
              <w:spacing w:after="60" w:before="60"/>
            </w:pPr>
            <w:r>
              <w:rPr>
                <w:rFonts w:ascii="Calibri" w:cs="Calibri" w:eastAsia="Calibri" w:hAnsi="Calibri"/>
                <w:b/>
                <w:bCs/>
                <w:color w:val="D4AF37"/>
                <w:sz w:val="20"/>
                <w:szCs w:val="20"/>
              </w:rPr>
              <w:t xml:space="preserve">Data Steward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Customer Master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VP Sales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CRM Administrator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Vendor Master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AP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Employee Master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CHRO</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HRIS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Product / Item Master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VP Operations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Product Data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Chart of Accounts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COA Administrator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Financial Transactions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Accounting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Pricing Data</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VP Sales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Revenue Operations</w:t>
            </w:r>
          </w:p>
        </w:tc>
      </w:tr>
    </w:tbl>
    <w:p>
      <w:pPr>
        <w:pStyle w:val="Heading2"/>
        <w:spacing w:after="150" w:before="300"/>
      </w:pPr>
      <w:r>
        <w:rPr>
          <w:rFonts w:ascii="Georgia" w:cs="Georgia" w:eastAsia="Georgia" w:hAnsi="Georgia"/>
          <w:b/>
          <w:bCs/>
          <w:color w:val="333333"/>
          <w:sz w:val="26"/>
          <w:szCs w:val="26"/>
        </w:rPr>
        <w:t xml:space="preserve">Appendix B — Data Quality Scorecard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Dimension</w:t>
            </w:r>
          </w:p>
        </w:tc>
        <w:tc>
          <w:tcPr>
            <w:tcW w:type="dxa" w:w="2400"/>
            <w:shd w:fill="0C0C0C" w:val="clear"/>
          </w:tcPr>
          <w:p>
            <w:pPr>
              <w:spacing w:after="60" w:before="60"/>
            </w:pPr>
            <w:r>
              <w:rPr>
                <w:rFonts w:ascii="Calibri" w:cs="Calibri" w:eastAsia="Calibri" w:hAnsi="Calibri"/>
                <w:b/>
                <w:bCs/>
                <w:color w:val="D4AF37"/>
                <w:sz w:val="20"/>
                <w:szCs w:val="20"/>
              </w:rPr>
              <w:t xml:space="preserve">Target</w:t>
            </w:r>
          </w:p>
        </w:tc>
        <w:tc>
          <w:tcPr>
            <w:tcW w:type="dxa" w:w="4560"/>
            <w:shd w:fill="0C0C0C" w:val="clear"/>
          </w:tcPr>
          <w:p>
            <w:pPr>
              <w:spacing w:after="60" w:before="60"/>
            </w:pPr>
            <w:r>
              <w:rPr>
                <w:rFonts w:ascii="Calibri" w:cs="Calibri" w:eastAsia="Calibri" w:hAnsi="Calibri"/>
                <w:b/>
                <w:bCs/>
                <w:color w:val="D4AF37"/>
                <w:sz w:val="20"/>
                <w:szCs w:val="20"/>
              </w:rPr>
              <w:t xml:space="preserve">Current Score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Accuracy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99%</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Completeness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99%</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Timeliness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SLA</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Consistency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99%</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Uniqueness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99%</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Validity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99%</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Data Governance &amp; Financial Data Quality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2026-07-13T07:52:25.823Z</dcterms:created>
  <dcterms:modified xsi:type="dcterms:W3CDTF">2026-07-13T07:52:25.823Z</dcterms:modified>
</cp:coreProperties>
</file>

<file path=docProps/custom.xml><?xml version="1.0" encoding="utf-8"?>
<Properties xmlns="http://schemas.openxmlformats.org/officeDocument/2006/custom-properties" xmlns:vt="http://schemas.openxmlformats.org/officeDocument/2006/docPropsVTypes"/>
</file>