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Chart of Accounts &amp; GL Maintenance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Chart of Accounts and General Ledger Maintenance Policy establishes the standards, procedures, and controls governing the structure, management, and integrity of [Company Name]'s chart of accounts (COA) and general ledger (GL). The policy ensures that the COA supports accurate financial reporting, management analysis, regulatory compliance, and tax reporting while maintaining consistency across all entities and business units.</w:t>
      </w:r>
    </w:p>
    <w:p>
      <w:pPr>
        <w:spacing w:after="150" w:before="0"/>
        <w:jc w:val="both"/>
      </w:pPr>
      <w:r>
        <w:rPr>
          <w:rFonts w:ascii="Calibri" w:cs="Calibri" w:eastAsia="Calibri" w:hAnsi="Calibri"/>
          <w:color w:val="333333"/>
          <w:sz w:val="22"/>
          <w:szCs w:val="22"/>
        </w:rPr>
        <w:t xml:space="preserve">This policy applies to the COA and GL of [Company Name] and all consolidated subsidiaries. It governs account creation, modification, deactivation, mapping, and the ongoing maintenance required to keep the COA aligned with evolving business and reporting needs.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logically structured COA that supports GAAP reporting, management reporting, tax reporting, and regulatory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consistency and standardization across all entities, subsidiaries, and business units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unauthorized or uncontrolled changes to the COA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Minimize the number of accounts while providing sufficient reporting granularity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every GL account maps to exactly one financial statement line item</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efficient financial close through a clean, well-organized chart of accounts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Chart of Accounts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complete, structured list of all general ledger accounts used to classify and record financial transactions.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 Segment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component of the full account string providing a specific classification dimension (natural account, department, location, project).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Natural Account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account segment classifying the nature of the transaction (asset, liability, equity, revenue, expense).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Cost Center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organizational unit to which costs are assigned for tracking and accountability purposes.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 Hierarchy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roll-up structure mapping detail accounts to summary accounts and financial statement line items.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Mapping Table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documented relationship between each GL account and its financial statement presentation, management report classification, and tax return line.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Dormant Account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account with no transaction activity for a specified period (typically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Suspense Account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temporary holding account used when the correct account classification is not immediately known.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Intercompany Account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account designated for recording transactions between related entities within the consolidated group.</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Statistical Account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account used to track non-financial data (headcount, square footage, units) for allocation and reporting purposes.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COA Structure</w:t>
      </w:r>
    </w:p>
    <w:p>
      <w:pPr>
        <w:spacing w:after="150" w:before="0"/>
        <w:jc w:val="both"/>
      </w:pPr>
      <w:r>
        <w:rPr>
          <w:rFonts w:ascii="Calibri" w:cs="Calibri" w:eastAsia="Calibri" w:hAnsi="Calibri"/>
          <w:color w:val="333333"/>
          <w:sz w:val="22"/>
          <w:szCs w:val="22"/>
        </w:rPr>
        <w:t xml:space="preserve">[Company Name]'s COA shall follow a standardized structure across all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Segment</w:t>
            </w:r>
          </w:p>
        </w:tc>
        <w:tc>
          <w:tcPr>
            <w:tcW w:type="dxa" w:w="6160"/>
            <w:shd w:fill="0C0C0C" w:val="clear"/>
          </w:tcPr>
          <w:p>
            <w:pPr>
              <w:spacing w:after="60" w:before="60"/>
            </w:pPr>
            <w:r>
              <w:rPr>
                <w:rFonts w:ascii="Calibri" w:cs="Calibri" w:eastAsia="Calibri" w:hAnsi="Calibri"/>
                <w:b/>
                <w:bCs/>
                <w:color w:val="D4AF37"/>
                <w:sz w:val="20"/>
                <w:szCs w:val="20"/>
              </w:rPr>
              <w:t xml:space="preserve">Format and Purpose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Natural Account (4 digits)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Classifies the nature: 1XXX Assets, 2XXX Liabilities, 3XXX Equity, 4XXX Revenue, 5XXX COGS, 6XXX OpEx, 7XXX Other Inc/Exp, 8XXX Tax, 9XXX Statistical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Department (3 digits)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Identifies the responsible organizational unit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Location / Entity (2 digits)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Identifies the legal entity or geographic location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Project (4 digits, optional)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Tracks capital projects, strategic initiatives, or grant-funded activities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Intercompany (2 digits, optional)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Identifies the counterparty entity for intercompany transactions</w:t>
            </w:r>
          </w:p>
        </w:tc>
      </w:tr>
    </w:tbl>
    <w:p>
      <w:pPr>
        <w:spacing w:after="150" w:before="0"/>
        <w:jc w:val="both"/>
      </w:pPr>
      <w:r>
        <w:rPr>
          <w:rFonts w:ascii="Calibri" w:cs="Calibri" w:eastAsia="Calibri" w:hAnsi="Calibri"/>
          <w:color w:val="333333"/>
          <w:sz w:val="22"/>
          <w:szCs w:val="22"/>
        </w:rPr>
        <w:t xml:space="preserve">The total account string shall not exceed [15] segments to balance granularity with usability.</w:t>
      </w:r>
    </w:p>
    <w:p>
      <w:pPr>
        <w:pStyle w:val="Heading2"/>
        <w:spacing w:after="150" w:before="300"/>
      </w:pPr>
      <w:r>
        <w:rPr>
          <w:rFonts w:ascii="Georgia" w:cs="Georgia" w:eastAsia="Georgia" w:hAnsi="Georgia"/>
          <w:b/>
          <w:bCs/>
          <w:color w:val="333333"/>
          <w:sz w:val="26"/>
          <w:szCs w:val="26"/>
        </w:rPr>
        <w:t xml:space="preserve">3.2 Account Governance</w:t>
      </w:r>
    </w:p>
    <w:p>
      <w:pPr>
        <w:spacing w:after="150" w:before="0"/>
        <w:jc w:val="both"/>
      </w:pPr>
      <w:r>
        <w:rPr>
          <w:rFonts w:ascii="Calibri" w:cs="Calibri" w:eastAsia="Calibri" w:hAnsi="Calibri"/>
          <w:color w:val="333333"/>
          <w:sz w:val="22"/>
          <w:szCs w:val="22"/>
        </w:rPr>
        <w:t xml:space="preserve">All changes to the COA require formal approval. No accounts shall be created, modified, or deactivated without following the procedures in Section 5. The Controller is the sole owner of the COA and has final authority over all account decisions. System access to create or modify GL accounts shall be restricted to designated COA administrators.</w:t>
      </w:r>
    </w:p>
    <w:p>
      <w:pPr>
        <w:pStyle w:val="Heading2"/>
        <w:spacing w:after="150" w:before="300"/>
      </w:pPr>
      <w:r>
        <w:rPr>
          <w:rFonts w:ascii="Georgia" w:cs="Georgia" w:eastAsia="Georgia" w:hAnsi="Georgia"/>
          <w:b/>
          <w:bCs/>
          <w:color w:val="333333"/>
          <w:sz w:val="26"/>
          <w:szCs w:val="26"/>
        </w:rPr>
        <w:t xml:space="preserve">3.3 Naming Standards</w:t>
      </w:r>
    </w:p>
    <w:p>
      <w:pPr>
        <w:spacing w:after="150" w:before="0"/>
        <w:jc w:val="both"/>
      </w:pPr>
      <w:r>
        <w:rPr>
          <w:rFonts w:ascii="Calibri" w:cs="Calibri" w:eastAsia="Calibri" w:hAnsi="Calibri"/>
          <w:color w:val="333333"/>
          <w:sz w:val="22"/>
          <w:szCs w:val="22"/>
        </w:rPr>
        <w:t xml:space="preserve">Account names shall be: descriptive and unambiguous (avoid abbreviations unless universally understood), consistent across similar accounts (all salary accounts use the same terminology), specific enough to indicate the account's purpose without needing to read supporting documentation, and free of generic names (Miscellaneous, Other, Sundry) — generic accounts shall not exceed [1%] of total expense.</w:t>
      </w:r>
    </w:p>
    <w:p>
      <w:pPr>
        <w:pStyle w:val="Heading2"/>
        <w:spacing w:after="150" w:before="300"/>
      </w:pPr>
      <w:r>
        <w:rPr>
          <w:rFonts w:ascii="Georgia" w:cs="Georgia" w:eastAsia="Georgia" w:hAnsi="Georgia"/>
          <w:b/>
          <w:bCs/>
          <w:color w:val="333333"/>
          <w:sz w:val="26"/>
          <w:szCs w:val="26"/>
        </w:rPr>
        <w:t xml:space="preserve">3.4 Mapping Requirements</w:t>
      </w:r>
    </w:p>
    <w:p>
      <w:pPr>
        <w:spacing w:after="150" w:before="0"/>
        <w:jc w:val="both"/>
      </w:pPr>
      <w:r>
        <w:rPr>
          <w:rFonts w:ascii="Calibri" w:cs="Calibri" w:eastAsia="Calibri" w:hAnsi="Calibri"/>
          <w:color w:val="333333"/>
          <w:sz w:val="22"/>
          <w:szCs w:val="22"/>
        </w:rPr>
        <w:t xml:space="preserve">Every GL account must be mapped to: a financial statement line item (income statement, balance sheet, cash flow), a management reporting category, a tax return line (for tax-sensitive accounts), and a consolidation account (for multi-entity environments). Mappings shall be maintained in a centralized mapping table reviewed annually by the Controller.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COA. Approves all account changes. Reviews the COA annually for optimization. Ensures mapping accuracy.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COA Administrator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approved account changes in the ERP. Maintains the account master file. Runs dormant account reports.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Accounting Manager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account usage patterns. Identifies opportunities for consolidation. Ensures team uses correct accounts.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input on management reporting needs. Requests new accounts when reporting requirements change. Maintains department/cost center structures.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input on tax reporting requirements. Ensures tax-sensitive accounts are properly mapped. Reviews new accounts for tax implications.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 / ERP Administrator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Configures account segments and validation rules in the ERP. Implements access controls for COA maintenance. Supports reporting configuration.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Unit Controllers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Request new accounts for business-specific needs. Ensure their teams use the correct accounts. Report coding errors.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Account Creation</w:t>
      </w:r>
    </w:p>
    <w:p>
      <w:pPr>
        <w:pStyle w:val="Heading3"/>
        <w:spacing w:after="100" w:before="200"/>
      </w:pPr>
      <w:r>
        <w:rPr>
          <w:rFonts w:ascii="Georgia" w:cs="Georgia" w:eastAsia="Georgia" w:hAnsi="Georgia"/>
          <w:b/>
          <w:bCs/>
          <w:color w:val="444444"/>
          <w:sz w:val="22"/>
          <w:szCs w:val="22"/>
        </w:rPr>
        <w:t xml:space="preserve">5.1.1 Request Process</w:t>
      </w:r>
    </w:p>
    <w:p>
      <w:pPr>
        <w:spacing w:after="150" w:before="0"/>
        <w:jc w:val="both"/>
      </w:pPr>
      <w:r>
        <w:rPr>
          <w:rFonts w:ascii="Calibri" w:cs="Calibri" w:eastAsia="Calibri" w:hAnsi="Calibri"/>
          <w:color w:val="333333"/>
          <w:sz w:val="22"/>
          <w:szCs w:val="22"/>
        </w:rPr>
        <w:t xml:space="preserve">Requests for new GL accounts shall be submitted through the [COA request form / ticketing system] with: proposed account number (following the numbering convention), descriptive account name, financial statement mapping, management report mapping, tax line mapping, business justification for why an existing account cannot be used, expected transaction volume, and requestor name and department.</w:t>
      </w:r>
    </w:p>
    <w:p>
      <w:pPr>
        <w:pStyle w:val="Heading3"/>
        <w:spacing w:after="100" w:before="200"/>
      </w:pPr>
      <w:r>
        <w:rPr>
          <w:rFonts w:ascii="Georgia" w:cs="Georgia" w:eastAsia="Georgia" w:hAnsi="Georgia"/>
          <w:b/>
          <w:bCs/>
          <w:color w:val="444444"/>
          <w:sz w:val="22"/>
          <w:szCs w:val="22"/>
        </w:rPr>
        <w:t xml:space="preserve">5.1.2 Evaluation Criteria</w:t>
      </w:r>
    </w:p>
    <w:p>
      <w:pPr>
        <w:spacing w:after="150" w:before="0"/>
        <w:jc w:val="both"/>
      </w:pPr>
      <w:r>
        <w:rPr>
          <w:rFonts w:ascii="Calibri" w:cs="Calibri" w:eastAsia="Calibri" w:hAnsi="Calibri"/>
          <w:color w:val="333333"/>
          <w:sz w:val="22"/>
          <w:szCs w:val="22"/>
        </w:rPr>
        <w:t xml:space="preserve">The Controller shall evaluate each request against the following criteria: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an existing account serve the same purpose? If yes, redirect to the existing account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the requested granularity necessary for financial reporting, management reporting, or regulatory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the proposed name follow naming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Has the account been properly mapped to all required reporting structures?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Will the new account create a SOD conflict or control gap?</w:t>
      </w:r>
    </w:p>
    <w:p>
      <w:pPr>
        <w:pStyle w:val="Heading3"/>
        <w:spacing w:after="100" w:before="200"/>
      </w:pPr>
      <w:r>
        <w:rPr>
          <w:rFonts w:ascii="Georgia" w:cs="Georgia" w:eastAsia="Georgia" w:hAnsi="Georgia"/>
          <w:b/>
          <w:bCs/>
          <w:color w:val="444444"/>
          <w:sz w:val="22"/>
          <w:szCs w:val="22"/>
        </w:rPr>
        <w:t xml:space="preserve">5.1.3 Approval and Activation</w:t>
      </w:r>
    </w:p>
    <w:p>
      <w:pPr>
        <w:spacing w:after="150" w:before="0"/>
        <w:jc w:val="both"/>
      </w:pPr>
      <w:r>
        <w:rPr>
          <w:rFonts w:ascii="Calibri" w:cs="Calibri" w:eastAsia="Calibri" w:hAnsi="Calibri"/>
          <w:color w:val="333333"/>
          <w:sz w:val="22"/>
          <w:szCs w:val="22"/>
        </w:rPr>
        <w:t xml:space="preserve">Approved accounts are activated by the COA Administrator in the ERP. The new account shall be: added to the mapping table, communicated to the accounting team, included in the next reconciliation cycle, and documented in the COA change log.</w:t>
      </w:r>
    </w:p>
    <w:p>
      <w:pPr>
        <w:pStyle w:val="Heading2"/>
        <w:spacing w:after="150" w:before="300"/>
      </w:pPr>
      <w:r>
        <w:rPr>
          <w:rFonts w:ascii="Georgia" w:cs="Georgia" w:eastAsia="Georgia" w:hAnsi="Georgia"/>
          <w:b/>
          <w:bCs/>
          <w:color w:val="333333"/>
          <w:sz w:val="26"/>
          <w:szCs w:val="26"/>
        </w:rPr>
        <w:t xml:space="preserve">5.2 Account Modification</w:t>
      </w:r>
    </w:p>
    <w:p>
      <w:pPr>
        <w:spacing w:after="150" w:before="0"/>
        <w:jc w:val="both"/>
      </w:pPr>
      <w:r>
        <w:rPr>
          <w:rFonts w:ascii="Calibri" w:cs="Calibri" w:eastAsia="Calibri" w:hAnsi="Calibri"/>
          <w:color w:val="333333"/>
          <w:sz w:val="22"/>
          <w:szCs w:val="22"/>
        </w:rPr>
        <w:t xml:space="preserve">Account modifications (name changes, mapping changes, segment changes) follow the same approval process as new accounts. Account number changes are not permitted — instead, the old account is deactivated and a new account is created. All modifications shall be: documented in the COA change log, communicated to affected users, reflected in all mapping tables, and verified in the next period-end reporting.</w:t>
      </w:r>
    </w:p>
    <w:p>
      <w:pPr>
        <w:pStyle w:val="Heading2"/>
        <w:spacing w:after="150" w:before="300"/>
      </w:pPr>
      <w:r>
        <w:rPr>
          <w:rFonts w:ascii="Georgia" w:cs="Georgia" w:eastAsia="Georgia" w:hAnsi="Georgia"/>
          <w:b/>
          <w:bCs/>
          <w:color w:val="333333"/>
          <w:sz w:val="26"/>
          <w:szCs w:val="26"/>
        </w:rPr>
        <w:t xml:space="preserve">5.3 Account Deactivation</w:t>
      </w:r>
    </w:p>
    <w:p>
      <w:pPr>
        <w:spacing w:after="150" w:before="0"/>
        <w:jc w:val="both"/>
      </w:pPr>
      <w:r>
        <w:rPr>
          <w:rFonts w:ascii="Calibri" w:cs="Calibri" w:eastAsia="Calibri" w:hAnsi="Calibri"/>
          <w:color w:val="333333"/>
          <w:sz w:val="22"/>
          <w:szCs w:val="22"/>
        </w:rPr>
        <w:t xml:space="preserve">Accounts with no activity for [12] consecutive months shall be reviewed for deactivation. Before deactivation, the COA Administrator shall verify: the account has a zero balance, no recurring journal entries reference the account, no automated system interfaces post to the account, and no sub-ledger feeds map to the account. Deactivated accounts retain historical data but prevent new postings.</w:t>
      </w:r>
    </w:p>
    <w:p>
      <w:pPr>
        <w:pStyle w:val="Heading2"/>
        <w:spacing w:after="150" w:before="300"/>
      </w:pPr>
      <w:r>
        <w:rPr>
          <w:rFonts w:ascii="Georgia" w:cs="Georgia" w:eastAsia="Georgia" w:hAnsi="Georgia"/>
          <w:b/>
          <w:bCs/>
          <w:color w:val="333333"/>
          <w:sz w:val="26"/>
          <w:szCs w:val="26"/>
        </w:rPr>
        <w:t xml:space="preserve">5.4 Periodic COA Review</w:t>
      </w:r>
    </w:p>
    <w:p>
      <w:pPr>
        <w:pStyle w:val="Heading3"/>
        <w:spacing w:after="100" w:before="200"/>
      </w:pPr>
      <w:r>
        <w:rPr>
          <w:rFonts w:ascii="Georgia" w:cs="Georgia" w:eastAsia="Georgia" w:hAnsi="Georgia"/>
          <w:b/>
          <w:bCs/>
          <w:color w:val="444444"/>
          <w:sz w:val="22"/>
          <w:szCs w:val="22"/>
        </w:rPr>
        <w:t xml:space="preserve">5.4.1 Annual Review</w:t>
      </w:r>
    </w:p>
    <w:p>
      <w:pPr>
        <w:spacing w:after="150" w:before="0"/>
        <w:jc w:val="both"/>
      </w:pPr>
      <w:r>
        <w:rPr>
          <w:rFonts w:ascii="Calibri" w:cs="Calibri" w:eastAsia="Calibri" w:hAnsi="Calibri"/>
          <w:color w:val="333333"/>
          <w:sz w:val="22"/>
          <w:szCs w:val="22"/>
        </w:rPr>
        <w:t xml:space="preserve">The Controller shall conduct an annual COA review covering: dormant account identification and deactivation, generic or miscellaneous account usage analysis, account consolidation opportunities, mapping accuracy verification, alignment with new accounting standards or reporting requirements, and compliance with naming standards.</w:t>
      </w:r>
    </w:p>
    <w:p>
      <w:pPr>
        <w:pStyle w:val="Heading3"/>
        <w:spacing w:after="100" w:before="200"/>
      </w:pPr>
      <w:r>
        <w:rPr>
          <w:rFonts w:ascii="Georgia" w:cs="Georgia" w:eastAsia="Georgia" w:hAnsi="Georgia"/>
          <w:b/>
          <w:bCs/>
          <w:color w:val="444444"/>
          <w:sz w:val="22"/>
          <w:szCs w:val="22"/>
        </w:rPr>
        <w:t xml:space="preserve">5.4.2 M&amp;A and Integration</w:t>
      </w:r>
    </w:p>
    <w:p>
      <w:pPr>
        <w:spacing w:after="150" w:before="0"/>
        <w:jc w:val="both"/>
      </w:pPr>
      <w:r>
        <w:rPr>
          <w:rFonts w:ascii="Calibri" w:cs="Calibri" w:eastAsia="Calibri" w:hAnsi="Calibri"/>
          <w:color w:val="333333"/>
          <w:sz w:val="22"/>
          <w:szCs w:val="22"/>
        </w:rPr>
        <w:t xml:space="preserve">When [Company Name] acquires a new entity, the acquired entity's COA shall be mapped to [Company Name]'s standard COA within [90] days of close. The mapping shall be prepared by the Accounting Manager, reviewed by the Controller, and implemented by IT. The acquired entity shall operate on [Company Name]'s standard COA within [12] months of close.</w:t>
      </w:r>
    </w:p>
    <w:p>
      <w:pPr>
        <w:pStyle w:val="Heading2"/>
        <w:spacing w:after="150" w:before="300"/>
      </w:pPr>
      <w:r>
        <w:rPr>
          <w:rFonts w:ascii="Georgia" w:cs="Georgia" w:eastAsia="Georgia" w:hAnsi="Georgia"/>
          <w:b/>
          <w:bCs/>
          <w:color w:val="333333"/>
          <w:sz w:val="26"/>
          <w:szCs w:val="26"/>
        </w:rPr>
        <w:t xml:space="preserve">5.5 Suspense Account Management</w:t>
      </w:r>
    </w:p>
    <w:p>
      <w:pPr>
        <w:spacing w:after="150" w:before="0"/>
        <w:jc w:val="both"/>
      </w:pPr>
      <w:r>
        <w:rPr>
          <w:rFonts w:ascii="Calibri" w:cs="Calibri" w:eastAsia="Calibri" w:hAnsi="Calibri"/>
          <w:color w:val="333333"/>
          <w:sz w:val="22"/>
          <w:szCs w:val="22"/>
        </w:rPr>
        <w:t xml:space="preserve">Suspense accounts are temporary holding accounts used when the correct classification is not immediately known. Suspense accounts shall be: cleared within [30] days (items reclassified to the correct permanent account), reviewed weekly by the Accounting Manager, reported to the Controller if items remain beyond [30] days, and zero at every month-end close (target). Persistent use of suspense accounts indicates a training or process gap that shall be investigated.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COA 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account creation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Account name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Account mapping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Account deactivation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department / cost center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FP&amp;A</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entity code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COA restructuring (major)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Structural changes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Suspense account creation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(discouraged)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Emergency account creation (needed for a critical transaction before the normal approval process can be completed) may be authorized verbally by the Controller and documented within 48 hours. Requests to create generic or miscellaneous accounts require enhanced justification and Controller approval with a plan to replace the generic account with specific accounts within [6] months.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suspense account clearance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dormant account identification report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generic account usage analysis (% of total expense in Miscellaneous/Other)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COA review and optimization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mapping accuracy verification (GL to financial statements, management reports, and tax returns)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Suspense account balance at month-end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Dormant accounts (no activity &gt; 12 months)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[5%] of total accounts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Generic account expense (% of total OpEx)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[1%]</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 creation turnaround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&lt; [3]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Mapping accuracy (annual verification)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COA change log completeness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changes documented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General Ledger &amp; Journal Entry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COA Request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Requestor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department, date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 Number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Proposed number following convention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 Name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Descriptive name following standards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Account Type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Asset / Liability / Equity / Revenue / Expense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Financial Statement 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Where this account maps on the FS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Management Report Category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Management reporting classification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 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Tax return mapping (if tax-sensitive)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Justification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Why a new account is needed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Controller signature and date</w:t>
            </w:r>
          </w:p>
        </w:tc>
      </w:tr>
    </w:tbl>
    <w:p>
      <w:pPr>
        <w:pStyle w:val="Heading2"/>
        <w:spacing w:after="150" w:before="300"/>
      </w:pPr>
      <w:r>
        <w:rPr>
          <w:rFonts w:ascii="Georgia" w:cs="Georgia" w:eastAsia="Georgia" w:hAnsi="Georgia"/>
          <w:b/>
          <w:bCs/>
          <w:color w:val="333333"/>
          <w:sz w:val="26"/>
          <w:szCs w:val="26"/>
        </w:rPr>
        <w:t xml:space="preserve">Appendix B — Account Numbering Convention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Range</w:t>
            </w:r>
          </w:p>
        </w:tc>
        <w:tc>
          <w:tcPr>
            <w:tcW w:type="dxa" w:w="6160"/>
            <w:shd w:fill="0C0C0C" w:val="clear"/>
          </w:tcPr>
          <w:p>
            <w:pPr>
              <w:spacing w:after="60" w:before="60"/>
            </w:pPr>
            <w:r>
              <w:rPr>
                <w:rFonts w:ascii="Calibri" w:cs="Calibri" w:eastAsia="Calibri" w:hAnsi="Calibri"/>
                <w:b/>
                <w:bCs/>
                <w:color w:val="D4AF37"/>
                <w:sz w:val="20"/>
                <w:szCs w:val="20"/>
              </w:rPr>
              <w:t xml:space="preserve">Category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1000–1499</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Current Assets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1500–1999</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Non-Current Assets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2000–2499</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Current Liabilities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2500–2999</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Non-Current Liabilities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3000–3999</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Equity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4000–4999</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Revenue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5000–5999</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Cost of Goods Sold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6000–6999</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Operating Expenses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7000–7999</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Other Income and Expense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8000–8999</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Income Tax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9000–9999</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Statistical Accounts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Chart of Accounts &amp; GL Maintenance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2026-07-13T07:52:24.611Z</dcterms:created>
  <dcterms:modified xsi:type="dcterms:W3CDTF">2026-07-13T07:52:24.641Z</dcterms:modified>
</cp:coreProperties>
</file>

<file path=docProps/custom.xml><?xml version="1.0" encoding="utf-8"?>
<Properties xmlns="http://schemas.openxmlformats.org/officeDocument/2006/custom-properties" xmlns:vt="http://schemas.openxmlformats.org/officeDocument/2006/docPropsVTypes"/>
</file>