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Record Retention &amp; Document Management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Record Retention and Document Management Policy establishes the standards for creating, organizing, retaining, and disposing of business records across [Company Name]. The policy ensures compliance with legal, regulatory, and contractual retention requirements while enabling efficient access to records and protecting against premature destruction of relevant documents.</w:t>
      </w:r>
    </w:p>
    <w:p>
      <w:pPr>
        <w:spacing w:after="150" w:before="0"/>
        <w:jc w:val="both"/>
      </w:pPr>
      <w:r>
        <w:rPr>
          <w:rFonts w:ascii="Calibri" w:cs="Calibri" w:eastAsia="Calibri" w:hAnsi="Calibri"/>
          <w:color w:val="333333"/>
          <w:sz w:val="22"/>
          <w:szCs w:val="22"/>
        </w:rPr>
        <w:t xml:space="preserve">This policy applies to all records created, received, or maintained by [Company Name] employees, regardless of format: paper documents, electronic files, emails, instant messages, databases, spreadsheets, presentations, audio/video recordings, and any other medium.</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Comply with all legal, regulatory, and contractual record retention requirements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Protect records that may be relevant to current or anticipated litigation (litigation hold)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Enable efficient retrieval of records for business, audit, and legal purposes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Reduce storage costs and risk by disposing of records that have exceeded their retention period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Protect confidential and sensitive records from unauthorized access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Establish clear ownership and accountability for records across the organization</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Record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Any information created, received, or maintained in the course of business, regardless of format, that documents a business transaction, decision, or activity.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Retention Period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minimum length of time a record must be maintained before it may be disposed of.</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Retention Schedule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document listing record categories, their retention periods, and the legal basis for the retention requirement.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Litigation Hold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directive to preserve all records potentially relevant to pending or reasonably anticipated litigation, investigation, or audit.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Spoliation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intentional or negligent destruction of records that are relevant to pending or anticipated legal proceedings.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Custodian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individual or department responsible for maintaining records within their area of responsibility.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Disposition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authorized destruction or deletion of records that have exceeded their retention period and are not subject to a litigation hold.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Archive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Long-term storage of records that are no longer actively used but must be retained per the retention schedule.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PII</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Personally Identifiable Information — data that can identify an individual, subject to privacy regulations.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General Retention Principles</w:t>
      </w:r>
    </w:p>
    <w:p>
      <w:pPr>
        <w:spacing w:after="150" w:before="0"/>
        <w:jc w:val="both"/>
      </w:pPr>
      <w:r>
        <w:rPr>
          <w:rFonts w:ascii="Calibri" w:cs="Calibri" w:eastAsia="Calibri" w:hAnsi="Calibri"/>
          <w:color w:val="333333"/>
          <w:sz w:val="22"/>
          <w:szCs w:val="22"/>
        </w:rPr>
        <w:t xml:space="preserve">[Company Name] shall retain records for the period required by the applicable retention schedule. Records shall not be retained longer than required unless a specific business need exists and storage costs are justified. Records shall not be destroyed before the expiration of their retention period. Records subject to a litigation hold shall be preserved regardless of their scheduled retention period.</w:t>
      </w:r>
    </w:p>
    <w:p>
      <w:pPr>
        <w:pStyle w:val="Heading2"/>
        <w:spacing w:after="150" w:before="300"/>
      </w:pPr>
      <w:r>
        <w:rPr>
          <w:rFonts w:ascii="Georgia" w:cs="Georgia" w:eastAsia="Georgia" w:hAnsi="Georgia"/>
          <w:b/>
          <w:bCs/>
          <w:color w:val="333333"/>
          <w:sz w:val="26"/>
          <w:szCs w:val="26"/>
        </w:rPr>
        <w:t xml:space="preserve">3.2 Retention Schedule Summary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Record Category</w:t>
            </w:r>
          </w:p>
        </w:tc>
        <w:tc>
          <w:tcPr>
            <w:tcW w:type="dxa" w:w="6160"/>
            <w:shd w:fill="0C0C0C" w:val="clear"/>
          </w:tcPr>
          <w:p>
            <w:pPr>
              <w:spacing w:after="60" w:before="60"/>
            </w:pPr>
            <w:r>
              <w:rPr>
                <w:rFonts w:ascii="Calibri" w:cs="Calibri" w:eastAsia="Calibri" w:hAnsi="Calibri"/>
                <w:b/>
                <w:bCs/>
                <w:color w:val="D4AF37"/>
                <w:sz w:val="20"/>
                <w:szCs w:val="20"/>
              </w:rPr>
              <w:t xml:space="preserve">Minimum Retention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Corporate records (articles, bylaws, minutes, stock records)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Permanent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Audited financial statements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Permanent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General ledger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Permanent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Tax returns and supporting workpapers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7 years after filing</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Accounts payable and receivable records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7 years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Bank statements and reconciliations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7 years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Payroll records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7 years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Employee personnel files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7 years after termination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Contracts (executed)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7 years after expiration or termination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Insurance policies and claims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7 years after expiration; claims: until resolved + 7 years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Correspondence (general business)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3 years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Internal reports and analyses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3 years (unless supporting permanent records)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Marketing materials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3 years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Emails (general business)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3 years (unless litigation hold)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Draft documents and working papers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 year (unless supporting permanent records)</w:t>
            </w:r>
          </w:p>
        </w:tc>
      </w:tr>
    </w:tbl>
    <w:p>
      <w:pPr>
        <w:pBdr>
          <w:left w:val="single" w:color="D4AF37" w:sz="8"/>
        </w:pBdr>
        <w:spacing w:after="200" w:before="100"/>
        <w:ind w:left="360"/>
      </w:pPr>
      <w:r>
        <w:rPr>
          <w:rFonts w:ascii="Calibri" w:cs="Calibri" w:eastAsia="Calibri" w:hAnsi="Calibri"/>
          <w:b/>
          <w:bCs/>
          <w:color w:val="D4AF37"/>
          <w:sz w:val="20"/>
          <w:szCs w:val="20"/>
        </w:rPr>
        <w:t xml:space="preserve">Note: </w:t>
      </w:r>
      <w:r>
        <w:rPr>
          <w:rFonts w:ascii="Calibri" w:cs="Calibri" w:eastAsia="Calibri" w:hAnsi="Calibri"/>
          <w:i/>
          <w:iCs/>
          <w:color w:val="666666"/>
          <w:sz w:val="20"/>
          <w:szCs w:val="20"/>
        </w:rPr>
        <w:t xml:space="preserve">This is a summary. The complete retention schedule is maintained by the General Counsel and details retention periods by specific record type, applicable law, and regulatory requirement.</w:t>
      </w:r>
    </w:p>
    <w:p>
      <w:pPr>
        <w:pStyle w:val="Heading2"/>
        <w:spacing w:after="150" w:before="300"/>
      </w:pPr>
      <w:r>
        <w:rPr>
          <w:rFonts w:ascii="Georgia" w:cs="Georgia" w:eastAsia="Georgia" w:hAnsi="Georgia"/>
          <w:b/>
          <w:bCs/>
          <w:color w:val="333333"/>
          <w:sz w:val="26"/>
          <w:szCs w:val="26"/>
        </w:rPr>
        <w:t xml:space="preserve">3.3 Litigation Hold</w:t>
      </w:r>
    </w:p>
    <w:p>
      <w:pPr>
        <w:spacing w:after="150" w:before="0"/>
        <w:jc w:val="both"/>
      </w:pPr>
      <w:r>
        <w:rPr>
          <w:rFonts w:ascii="Calibri" w:cs="Calibri" w:eastAsia="Calibri" w:hAnsi="Calibri"/>
          <w:color w:val="333333"/>
          <w:sz w:val="22"/>
          <w:szCs w:val="22"/>
        </w:rPr>
        <w:t xml:space="preserve">When litigation is pending or reasonably anticipated, the General Counsel shall issue a litigation hold notice to all custodians who may possess relevant records. The hold supersedes any retention schedule and requires preservation of all records within the scope of the hold, including: electronic files, emails, instant messages, voicemails, backup tapes, and paper documents. Destruction of records subject to a litigation hold constitutes spoliation, which can result in severe legal sanctions including adverse inference, monetary penalties, and criminal charges.</w:t>
      </w:r>
    </w:p>
    <w:p>
      <w:pPr>
        <w:pStyle w:val="Heading2"/>
        <w:spacing w:after="150" w:before="300"/>
      </w:pPr>
      <w:r>
        <w:rPr>
          <w:rFonts w:ascii="Georgia" w:cs="Georgia" w:eastAsia="Georgia" w:hAnsi="Georgia"/>
          <w:b/>
          <w:bCs/>
          <w:color w:val="333333"/>
          <w:sz w:val="26"/>
          <w:szCs w:val="26"/>
        </w:rPr>
        <w:t xml:space="preserve">3.4 Disposal</w:t>
      </w:r>
    </w:p>
    <w:p>
      <w:pPr>
        <w:spacing w:after="150" w:before="0"/>
        <w:jc w:val="both"/>
      </w:pPr>
      <w:r>
        <w:rPr>
          <w:rFonts w:ascii="Calibri" w:cs="Calibri" w:eastAsia="Calibri" w:hAnsi="Calibri"/>
          <w:color w:val="333333"/>
          <w:sz w:val="22"/>
          <w:szCs w:val="22"/>
        </w:rPr>
        <w:t xml:space="preserve">Records that have exceeded their retention period and are not subject to a litigation hold shall be disposed of per the approved disposal procedures: paper records shall be shredded (cross-cut) or securely destroyed, electronic records shall be permanently deleted using methods that prevent recovery, media (hard drives, tapes, CDs) containing confidential records shall be physically destroyed, and all dispositions shall be documented in a disposition log.</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General Counsel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Owns the retention schedule. Issues and manages litigation holds. Advises on regulatory retention requirements.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CFO / Controller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Ensures financial records are retained per the schedule. Coordinates with external auditors on audit workpaper retention.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Records Manager (or designee)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Manages the records management program. Maintains the retention schedule. Coordinates annual disposition. Trains records custodians.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Implements electronic record retention and deletion. Manages email retention policies. Supports litigation hold implementation for electronic records.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Department Heads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Ensure their departments comply with retention requirements. Designate records custodians. Respond to litigation hold notices.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All Employees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Create and maintain records per this policy. Respond to litigation hold notices. Do not destroy records prematurely.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External Auditor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Retains audit workpapers per PCAOB requirements (7 years). Provides access to workpapers when requested.</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Record Creation and Classification</w:t>
      </w:r>
    </w:p>
    <w:p>
      <w:pPr>
        <w:spacing w:after="150" w:before="0"/>
        <w:jc w:val="both"/>
      </w:pPr>
      <w:r>
        <w:rPr>
          <w:rFonts w:ascii="Calibri" w:cs="Calibri" w:eastAsia="Calibri" w:hAnsi="Calibri"/>
          <w:color w:val="333333"/>
          <w:sz w:val="22"/>
          <w:szCs w:val="22"/>
        </w:rPr>
        <w:t xml:space="preserve">All records shall be: created with sufficient detail to document the business transaction or decision, classified by record type per the retention schedule, stored in the designated location (shared drives, document management system, or physical filing), and labeled with appropriate confidentiality classification (Public, Internal, Confidential, Restricted).</w:t>
      </w:r>
    </w:p>
    <w:p>
      <w:pPr>
        <w:pStyle w:val="Heading2"/>
        <w:spacing w:after="150" w:before="300"/>
      </w:pPr>
      <w:r>
        <w:rPr>
          <w:rFonts w:ascii="Georgia" w:cs="Georgia" w:eastAsia="Georgia" w:hAnsi="Georgia"/>
          <w:b/>
          <w:bCs/>
          <w:color w:val="333333"/>
          <w:sz w:val="26"/>
          <w:szCs w:val="26"/>
        </w:rPr>
        <w:t xml:space="preserve">5.2 Email Retention</w:t>
      </w:r>
    </w:p>
    <w:p>
      <w:pPr>
        <w:spacing w:after="150" w:before="0"/>
        <w:jc w:val="both"/>
      </w:pPr>
      <w:r>
        <w:rPr>
          <w:rFonts w:ascii="Calibri" w:cs="Calibri" w:eastAsia="Calibri" w:hAnsi="Calibri"/>
          <w:color w:val="333333"/>
          <w:sz w:val="22"/>
          <w:szCs w:val="22"/>
        </w:rPr>
        <w:t xml:space="preserve">Email shall be managed through automated retention policies in the email system: general business email shall be retained for [3] years and then auto-deleted, emails containing records of business decisions, transactions, or contractual commitments should be saved to the appropriate file/system for the applicable retention period, personal emails should not be stored on company systems, and emails subject to litigation hold shall be preserved per the hold notice.</w:t>
      </w:r>
    </w:p>
    <w:p>
      <w:pPr>
        <w:pStyle w:val="Heading2"/>
        <w:spacing w:after="150" w:before="300"/>
      </w:pPr>
      <w:r>
        <w:rPr>
          <w:rFonts w:ascii="Georgia" w:cs="Georgia" w:eastAsia="Georgia" w:hAnsi="Georgia"/>
          <w:b/>
          <w:bCs/>
          <w:color w:val="333333"/>
          <w:sz w:val="26"/>
          <w:szCs w:val="26"/>
        </w:rPr>
        <w:t xml:space="preserve">5.3 Litigation Hold Process</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Legal identifies a triggering event (lawsuit filed, demand letter, government investigation, or reasonably anticipated litigation)</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Legal determines the scope of the hold (subject matter, time period, custodians, record types)</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Legal issues written hold notices to all identified custodians with specific preservation instructions</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IT suspends automated deletion policies for in-scope electronic records</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Custodians acknowledge receipt and compliance with the hold notice</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Legal sends periodic reminders to custodians (at least quarterly)</w:t>
      </w:r>
    </w:p>
    <w:p>
      <w:pPr>
        <w:spacing w:after="80"/>
        <w:ind w:left="720"/>
      </w:pPr>
      <w:r>
        <w:rPr>
          <w:rFonts w:ascii="Calibri" w:cs="Calibri" w:eastAsia="Calibri" w:hAnsi="Calibri"/>
          <w:b/>
          <w:bCs/>
          <w:color w:val="D4AF37"/>
          <w:sz w:val="22"/>
          <w:szCs w:val="22"/>
        </w:rPr>
        <w:t xml:space="preserve">7.  </w:t>
      </w:r>
      <w:r>
        <w:rPr>
          <w:rFonts w:ascii="Calibri" w:cs="Calibri" w:eastAsia="Calibri" w:hAnsi="Calibri"/>
          <w:color w:val="333333"/>
          <w:sz w:val="22"/>
          <w:szCs w:val="22"/>
        </w:rPr>
        <w:t xml:space="preserve">Legal releases the hold in writing when the matter is resolved, and normal retention schedules resume</w:t>
      </w:r>
    </w:p>
    <w:p>
      <w:pPr>
        <w:pStyle w:val="Heading2"/>
        <w:spacing w:after="150" w:before="300"/>
      </w:pPr>
      <w:r>
        <w:rPr>
          <w:rFonts w:ascii="Georgia" w:cs="Georgia" w:eastAsia="Georgia" w:hAnsi="Georgia"/>
          <w:b/>
          <w:bCs/>
          <w:color w:val="333333"/>
          <w:sz w:val="26"/>
          <w:szCs w:val="26"/>
        </w:rPr>
        <w:t xml:space="preserve">5.4 Annual Disposition</w:t>
      </w:r>
    </w:p>
    <w:p>
      <w:pPr>
        <w:spacing w:after="150" w:before="0"/>
        <w:jc w:val="both"/>
      </w:pPr>
      <w:r>
        <w:rPr>
          <w:rFonts w:ascii="Calibri" w:cs="Calibri" w:eastAsia="Calibri" w:hAnsi="Calibri"/>
          <w:color w:val="333333"/>
          <w:sz w:val="22"/>
          <w:szCs w:val="22"/>
        </w:rPr>
        <w:t xml:space="preserve">The Records Manager shall coordinate an annual disposition cycle:</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Generate a list of records eligible for disposition (retention period expired)</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Verify with Legal that no litigation holds apply to the eligible records</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Obtain approval from the department head for each record category</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Execute secure destruction per the approved methods</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Document the disposition in the log (record type, quantity, destruction date, method, witness)</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Retain the disposition log permanently</w:t>
      </w:r>
    </w:p>
    <w:p>
      <w:pPr>
        <w:pStyle w:val="Heading2"/>
        <w:spacing w:after="150" w:before="300"/>
      </w:pPr>
      <w:r>
        <w:rPr>
          <w:rFonts w:ascii="Georgia" w:cs="Georgia" w:eastAsia="Georgia" w:hAnsi="Georgia"/>
          <w:b/>
          <w:bCs/>
          <w:color w:val="333333"/>
          <w:sz w:val="26"/>
          <w:szCs w:val="26"/>
        </w:rPr>
        <w:t xml:space="preserve">5.5 Electronic Document Management</w:t>
      </w:r>
    </w:p>
    <w:p>
      <w:pPr>
        <w:spacing w:after="150" w:before="0"/>
        <w:jc w:val="both"/>
      </w:pPr>
      <w:r>
        <w:rPr>
          <w:rFonts w:ascii="Calibri" w:cs="Calibri" w:eastAsia="Calibri" w:hAnsi="Calibri"/>
          <w:color w:val="333333"/>
          <w:sz w:val="22"/>
          <w:szCs w:val="22"/>
        </w:rPr>
        <w:t xml:space="preserve">[Company Name] shall maintain an electronic document management system (DMS) that provides: organized storage with folder structures aligned to the retention schedule, version control for key documents, access controls limiting document access to authorized users, search capability for efficient retrieval, and audit trail logging document creation, modification, and access.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Action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Retention schedule update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 changes</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General Counsel</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Litigation hold issuance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General Counsel</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Litigation hold release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General Counsel</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Annual record disposition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 categories</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Records Manager + Department Head + General Counsel confirmation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Destruction of financial records</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 + General Counsel</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Early destruction (before retention period)</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Not permitted</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N/A</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Extended retention (beyond schedule)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Department Head (must justify storage cost)</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Records shall never be destroyed before the expiration of their retention period. There are no exceptions. Records subject to litigation hold shall be preserved regardless of all other considerations. Employees who become aware of unauthorized record destruction shall report it immediately to the General Counsel and the whistleblower hotline. Intentional destruction of records subject to a litigation hold may result in termination and legal action.</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retention schedule review and update by General Counsel</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disposition cycle completion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litigation hold compliance verification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training on record retention and litigation hold procedures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Periodic audit of record storage locations for compliance</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Retention schedule currency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Updated within past 12 months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Litigation hold acknowledgment rate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 within [5] business days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Annual disposition completion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 of eligible records processed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Training completion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 of employees annually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Unauthorized destruction incidents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Zero</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Privacy &amp; Data Protection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Systems Access Control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Cybersecurity (Finance)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Fraud Prevention &amp; Whistleblower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Federal Rules of Civil Procedure (e-discovery requirements)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SOX Section 802 (criminal penalties for record destruction)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IRS record retention requirements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State-specific record retention laws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Litigation Hold Notice Template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Field</w:t>
            </w:r>
          </w:p>
        </w:tc>
        <w:tc>
          <w:tcPr>
            <w:tcW w:type="dxa" w:w="61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Date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Date the hold is issued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Matter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Description of the legal matter triggering the hold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Scope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Types of records covered (emails, documents, data, physical records)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Time Period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Date range of records to be preserved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Custodian Instructions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Specific actions required (do not delete, do not modify, preserve in place)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Contact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Legal department contact for questions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Acknowledgment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Custodian signature confirming receipt and understanding</w:t>
            </w:r>
          </w:p>
        </w:tc>
      </w:tr>
    </w:tbl>
    <w:p>
      <w:pPr>
        <w:pStyle w:val="Heading2"/>
        <w:spacing w:after="150" w:before="300"/>
      </w:pPr>
      <w:r>
        <w:rPr>
          <w:rFonts w:ascii="Georgia" w:cs="Georgia" w:eastAsia="Georgia" w:hAnsi="Georgia"/>
          <w:b/>
          <w:bCs/>
          <w:color w:val="333333"/>
          <w:sz w:val="26"/>
          <w:szCs w:val="26"/>
        </w:rPr>
        <w:t xml:space="preserve">Appendix B — Disposition Log Template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Record Category</w:t>
            </w:r>
          </w:p>
        </w:tc>
        <w:tc>
          <w:tcPr>
            <w:tcW w:type="dxa" w:w="2400"/>
            <w:shd w:fill="0C0C0C" w:val="clear"/>
          </w:tcPr>
          <w:p>
            <w:pPr>
              <w:spacing w:after="60" w:before="60"/>
            </w:pPr>
            <w:r>
              <w:rPr>
                <w:rFonts w:ascii="Calibri" w:cs="Calibri" w:eastAsia="Calibri" w:hAnsi="Calibri"/>
                <w:b/>
                <w:bCs/>
                <w:color w:val="D4AF37"/>
                <w:sz w:val="20"/>
                <w:szCs w:val="20"/>
              </w:rPr>
              <w:t xml:space="preserve">Retention Period</w:t>
            </w:r>
          </w:p>
        </w:tc>
        <w:tc>
          <w:tcPr>
            <w:tcW w:type="dxa" w:w="4560"/>
            <w:shd w:fill="0C0C0C" w:val="clear"/>
          </w:tcPr>
          <w:p>
            <w:pPr>
              <w:spacing w:after="60" w:before="60"/>
            </w:pPr>
            <w:r>
              <w:rPr>
                <w:rFonts w:ascii="Calibri" w:cs="Calibri" w:eastAsia="Calibri" w:hAnsi="Calibri"/>
                <w:b/>
                <w:bCs/>
                <w:color w:val="D4AF37"/>
                <w:sz w:val="20"/>
                <w:szCs w:val="20"/>
              </w:rPr>
              <w:t xml:space="preserve">Disposition Date</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AP invoices FY[20XX]</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7 years</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[Date]</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General correspondence FY[20XX]</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3 years</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[Date]</w:t>
            </w:r>
          </w:p>
        </w:tc>
      </w:tr>
    </w:tbl>
    <w:p>
      <w:pPr>
        <w:pBdr>
          <w:left w:val="single" w:color="D4AF37" w:sz="8"/>
        </w:pBdr>
        <w:spacing w:after="200" w:before="100"/>
        <w:ind w:left="360"/>
      </w:pPr>
      <w:r>
        <w:rPr>
          <w:rFonts w:ascii="Calibri" w:cs="Calibri" w:eastAsia="Calibri" w:hAnsi="Calibri"/>
          <w:b/>
          <w:bCs/>
          <w:color w:val="D4AF37"/>
          <w:sz w:val="20"/>
          <w:szCs w:val="20"/>
        </w:rPr>
        <w:t xml:space="preserve">Note: </w:t>
      </w:r>
      <w:r>
        <w:rPr>
          <w:rFonts w:ascii="Calibri" w:cs="Calibri" w:eastAsia="Calibri" w:hAnsi="Calibri"/>
          <w:i/>
          <w:iCs/>
          <w:color w:val="666666"/>
          <w:sz w:val="20"/>
          <w:szCs w:val="20"/>
        </w:rPr>
        <w:t xml:space="preserve">The complete log includes all fields shown above plus quantity, location, and General Counsel clearance confirmation.</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Record Retention &amp; Document Management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2026-07-13T07:44:23.478Z</dcterms:created>
  <dcterms:modified xsi:type="dcterms:W3CDTF">2026-07-13T07:44:23.478Z</dcterms:modified>
</cp:coreProperties>
</file>

<file path=docProps/custom.xml><?xml version="1.0" encoding="utf-8"?>
<Properties xmlns="http://schemas.openxmlformats.org/officeDocument/2006/custom-properties" xmlns:vt="http://schemas.openxmlformats.org/officeDocument/2006/docPropsVTypes"/>
</file>