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Board &amp; Audit Committee Reporting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Board and Audit Committee Reporting Policy establishes the standards, content requirements, and timelines for financial reports and presentations provided to the Board of Directors, Audit Committee, and other board committees of [Company Name]. The policy ensures that the Board receives timely, accurate, and decision-relevant financial information to fulfill its fiduciary and governance responsibilities.</w:t>
      </w:r>
    </w:p>
    <w:p>
      <w:pPr>
        <w:spacing w:after="150" w:before="0"/>
        <w:jc w:val="both"/>
      </w:pPr>
      <w:r>
        <w:rPr>
          <w:rFonts w:ascii="Calibri" w:cs="Calibri" w:eastAsia="Calibri" w:hAnsi="Calibri"/>
          <w:color w:val="333333"/>
          <w:sz w:val="22"/>
          <w:szCs w:val="22"/>
        </w:rPr>
        <w:t xml:space="preserve">This policy applies to all financial reports, management presentations, and supporting materials provided to the Board of Directors and its committees, including the Audit Committee, Compensation Committee, and any special committees.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the Board with comprehensive financial information enabling effective oversight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consistent reporting standards and timelines across all board committees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Audit Committee receives all information required by SOX, listing standards, and its charter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informed decision-making through clear, concise, and actionable financial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compliance with SEC, stock exchange, and corporate governance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directors through timely disclosure of material issues and risks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Package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comprehensive set of materials distributed to directors before each board meeting.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 Charter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document defining the Audit Committee's responsibilities, authority, and composition requirements.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Executive Session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portion of the board or committee meeting conducted without management present.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Consent Agenda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Routine items grouped for single-vote approval to focus meeting time on substantive matters.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Management Letter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communication from the external auditor to management identifying control deficiencies and recommendations.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Audit Matters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Matters arising from the audit that were communicated to the Audit Committee and involved especially challenging or subjective judgments.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Non-GAAP Measure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financial measure that adjusts or excludes GAAP amounts, requiring specific presentation and reconciliation.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Board Book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complete set of board meeting materials, including the agenda, prior meeting minutes, and all presentations and reports.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Reporting Calendar</w:t>
      </w:r>
    </w:p>
    <w:p>
      <w:pPr>
        <w:spacing w:after="150" w:before="0"/>
        <w:jc w:val="both"/>
      </w:pPr>
      <w:r>
        <w:rPr>
          <w:rFonts w:ascii="Calibri" w:cs="Calibri" w:eastAsia="Calibri" w:hAnsi="Calibri"/>
          <w:color w:val="333333"/>
          <w:sz w:val="22"/>
          <w:szCs w:val="22"/>
        </w:rPr>
        <w:t xml:space="preserve">[Company Name] shall maintain a board reporting calendar aligned with the fiscal year: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Meeting</w:t>
            </w:r>
          </w:p>
        </w:tc>
        <w:tc>
          <w:tcPr>
            <w:tcW w:type="dxa" w:w="6160"/>
            <w:shd w:fill="0C0C0C" w:val="clear"/>
          </w:tcPr>
          <w:p>
            <w:pPr>
              <w:spacing w:after="60" w:before="60"/>
            </w:pPr>
            <w:r>
              <w:rPr>
                <w:rFonts w:ascii="Calibri" w:cs="Calibri" w:eastAsia="Calibri" w:hAnsi="Calibri"/>
                <w:b/>
                <w:bCs/>
                <w:color w:val="D4AF37"/>
                <w:sz w:val="20"/>
                <w:szCs w:val="20"/>
              </w:rPr>
              <w:t xml:space="preserve">Key Financial Content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Q1 Board Meeting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Full-year results, audit results, 10-K review, proxy season preparation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Q2 Board Meeting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Q1 results, updated forecast, strategic initiative progress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Q3 Board Meeting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Q2 results and mid-year review, preliminary budget discussion, capital plan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Q4 Board Meeting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Q3 results, annual budget approval, strategic plan review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 (quarterly)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Financial results, controls update, risk assessment, auditor reports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Special Meetings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M&amp;A, financing, crisis response, or other material events as needed</w:t>
            </w:r>
          </w:p>
        </w:tc>
      </w:tr>
    </w:tbl>
    <w:p>
      <w:pPr>
        <w:pStyle w:val="Heading2"/>
        <w:spacing w:after="150" w:before="300"/>
      </w:pPr>
      <w:r>
        <w:rPr>
          <w:rFonts w:ascii="Georgia" w:cs="Georgia" w:eastAsia="Georgia" w:hAnsi="Georgia"/>
          <w:b/>
          <w:bCs/>
          <w:color w:val="333333"/>
          <w:sz w:val="26"/>
          <w:szCs w:val="26"/>
        </w:rPr>
        <w:t xml:space="preserve">3.2 Material Distribution Timeline</w:t>
      </w:r>
    </w:p>
    <w:p>
      <w:pPr>
        <w:spacing w:after="150" w:before="0"/>
        <w:jc w:val="both"/>
      </w:pPr>
      <w:r>
        <w:rPr>
          <w:rFonts w:ascii="Calibri" w:cs="Calibri" w:eastAsia="Calibri" w:hAnsi="Calibri"/>
          <w:color w:val="333333"/>
          <w:sz w:val="22"/>
          <w:szCs w:val="22"/>
        </w:rPr>
        <w:t xml:space="preserve">Board materials shall be distributed to directors at least [5] business days before the meeting. Late additions are discouraged but may be distributed up to [2] days before the meeting with Board Chair approval. Materials distributed at the meeting (walk-in items) shall be limited to time-sensitive matters that could not have been prepared earlier.</w:t>
      </w:r>
    </w:p>
    <w:p>
      <w:pPr>
        <w:pStyle w:val="Heading2"/>
        <w:spacing w:after="150" w:before="300"/>
      </w:pPr>
      <w:r>
        <w:rPr>
          <w:rFonts w:ascii="Georgia" w:cs="Georgia" w:eastAsia="Georgia" w:hAnsi="Georgia"/>
          <w:b/>
          <w:bCs/>
          <w:color w:val="333333"/>
          <w:sz w:val="26"/>
          <w:szCs w:val="26"/>
        </w:rPr>
        <w:t xml:space="preserve">3.3 CFO Reporting Standards</w:t>
      </w:r>
    </w:p>
    <w:p>
      <w:pPr>
        <w:spacing w:after="150" w:before="0"/>
        <w:jc w:val="both"/>
      </w:pPr>
      <w:r>
        <w:rPr>
          <w:rFonts w:ascii="Calibri" w:cs="Calibri" w:eastAsia="Calibri" w:hAnsi="Calibri"/>
          <w:color w:val="333333"/>
          <w:sz w:val="22"/>
          <w:szCs w:val="22"/>
        </w:rPr>
        <w:t xml:space="preserve">All financial reports to the Board shall: lead with key messages and implications (not raw data), provide context through comparison to budget, forecast, prior year, and industry benchmarks, highlight items requiring Board discussion, decision, or awareness, use consistent formatting and metrics across reporting periods, and clearly distinguish between GAAP and non-GAAP measures with reconciliation.</w:t>
      </w:r>
    </w:p>
    <w:p>
      <w:pPr>
        <w:pStyle w:val="Heading2"/>
        <w:spacing w:after="150" w:before="300"/>
      </w:pPr>
      <w:r>
        <w:rPr>
          <w:rFonts w:ascii="Georgia" w:cs="Georgia" w:eastAsia="Georgia" w:hAnsi="Georgia"/>
          <w:b/>
          <w:bCs/>
          <w:color w:val="333333"/>
          <w:sz w:val="26"/>
          <w:szCs w:val="26"/>
        </w:rPr>
        <w:t xml:space="preserve">3.4 Confidentiality</w:t>
      </w:r>
    </w:p>
    <w:p>
      <w:pPr>
        <w:spacing w:after="150" w:before="0"/>
        <w:jc w:val="both"/>
      </w:pPr>
      <w:r>
        <w:rPr>
          <w:rFonts w:ascii="Calibri" w:cs="Calibri" w:eastAsia="Calibri" w:hAnsi="Calibri"/>
          <w:color w:val="333333"/>
          <w:sz w:val="22"/>
          <w:szCs w:val="22"/>
        </w:rPr>
        <w:t xml:space="preserve">All board materials are classified as Confidential. Distribution is limited to directors, invited attendees, and individuals preparing the materials. Board materials shall be distributed through the secure board portal and not via email. Printed materials shall be collected at the end of the meeting or securely destroyed.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and presents the financial sections of the board package. Certifies financial accuracy. Leads the Audit Committee financial review.</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financial statements, variance analysis, and supporting detail. Reviews board materials for accuracy. Supports Audit Committee discussions.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forecast updates, budget comparisons, and KPI dashboards. Provides analytical support for strategic financial discussions.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 / Board Secretary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board logistics, calendar, and material distribution. Prepares meeting minutes. Ensures governance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Sets the board meeting agenda with the Board Chair. Presents strategic updates. Coordinates management presentations.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Presents the audit plan, findings, and remediation status to the Audit Committee. Reports on control effectiveness.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Presents audit results, critical audit matters, and the management letter to the Audit Committee. Discusses accounting judgments.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Board Package Contents</w:t>
      </w:r>
    </w:p>
    <w:p>
      <w:pPr>
        <w:pStyle w:val="Heading3"/>
        <w:spacing w:after="100" w:before="200"/>
      </w:pPr>
      <w:r>
        <w:rPr>
          <w:rFonts w:ascii="Georgia" w:cs="Georgia" w:eastAsia="Georgia" w:hAnsi="Georgia"/>
          <w:b/>
          <w:bCs/>
          <w:color w:val="444444"/>
          <w:sz w:val="22"/>
          <w:szCs w:val="22"/>
        </w:rPr>
        <w:t xml:space="preserve">5.1.1 Financial Performance Report</w:t>
      </w:r>
    </w:p>
    <w:p>
      <w:pPr>
        <w:spacing w:after="150" w:before="0"/>
        <w:jc w:val="both"/>
      </w:pPr>
      <w:r>
        <w:rPr>
          <w:rFonts w:ascii="Calibri" w:cs="Calibri" w:eastAsia="Calibri" w:hAnsi="Calibri"/>
          <w:color w:val="333333"/>
          <w:sz w:val="22"/>
          <w:szCs w:val="22"/>
        </w:rPr>
        <w:t xml:space="preserve">The quarterly financial performance report shall include: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Consolidated income statement (current quarter and YTD vs. budget, forecast, and prior year)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analysis by segment, geography, and product 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EBITDA bridge (budget-to-actual walkthrough of key drivers)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Balance sheet highlights with significant changes explained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flow summary and liquidity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Covenant compliance status (if applicable)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Updated full-year forecast with variance to budget</w:t>
      </w:r>
    </w:p>
    <w:p>
      <w:pPr>
        <w:pStyle w:val="Heading3"/>
        <w:spacing w:after="100" w:before="200"/>
      </w:pPr>
      <w:r>
        <w:rPr>
          <w:rFonts w:ascii="Georgia" w:cs="Georgia" w:eastAsia="Georgia" w:hAnsi="Georgia"/>
          <w:b/>
          <w:bCs/>
          <w:color w:val="444444"/>
          <w:sz w:val="22"/>
          <w:szCs w:val="22"/>
        </w:rPr>
        <w:t xml:space="preserve">5.1.2 KPI Dashboard</w:t>
      </w:r>
    </w:p>
    <w:p>
      <w:pPr>
        <w:spacing w:after="150" w:before="0"/>
        <w:jc w:val="both"/>
      </w:pPr>
      <w:r>
        <w:rPr>
          <w:rFonts w:ascii="Calibri" w:cs="Calibri" w:eastAsia="Calibri" w:hAnsi="Calibri"/>
          <w:color w:val="333333"/>
          <w:sz w:val="22"/>
          <w:szCs w:val="22"/>
        </w:rPr>
        <w:t xml:space="preserve">A one-page KPI dashboard with traffic-light status indicators for: financial KPIs (revenue growth, margin, DSO, cash), operational KPIs (customer metrics, product metrics), people KPIs (headcount, attrition, hiring velocity), and strategic KPIs (initiative milestones, market share).</w:t>
      </w:r>
    </w:p>
    <w:p>
      <w:pPr>
        <w:pStyle w:val="Heading3"/>
        <w:spacing w:after="100" w:before="200"/>
      </w:pPr>
      <w:r>
        <w:rPr>
          <w:rFonts w:ascii="Georgia" w:cs="Georgia" w:eastAsia="Georgia" w:hAnsi="Georgia"/>
          <w:b/>
          <w:bCs/>
          <w:color w:val="444444"/>
          <w:sz w:val="22"/>
          <w:szCs w:val="22"/>
        </w:rPr>
        <w:t xml:space="preserve">5.1.3 Risk and Compliance Update</w:t>
      </w:r>
    </w:p>
    <w:p>
      <w:pPr>
        <w:spacing w:after="150" w:before="0"/>
        <w:jc w:val="both"/>
      </w:pPr>
      <w:r>
        <w:rPr>
          <w:rFonts w:ascii="Calibri" w:cs="Calibri" w:eastAsia="Calibri" w:hAnsi="Calibri"/>
          <w:color w:val="333333"/>
          <w:sz w:val="22"/>
          <w:szCs w:val="22"/>
        </w:rPr>
        <w:t xml:space="preserve">A quarterly risk update covering: enterprise risk heat map changes, compliance incidents or regulatory developments, cybersecurity posture summary, and litigation update.</w:t>
      </w:r>
    </w:p>
    <w:p>
      <w:pPr>
        <w:pStyle w:val="Heading2"/>
        <w:spacing w:after="150" w:before="300"/>
      </w:pPr>
      <w:r>
        <w:rPr>
          <w:rFonts w:ascii="Georgia" w:cs="Georgia" w:eastAsia="Georgia" w:hAnsi="Georgia"/>
          <w:b/>
          <w:bCs/>
          <w:color w:val="333333"/>
          <w:sz w:val="26"/>
          <w:szCs w:val="26"/>
        </w:rPr>
        <w:t xml:space="preserve">5.2 Audit Committee Package</w:t>
      </w:r>
    </w:p>
    <w:p>
      <w:pPr>
        <w:spacing w:after="150" w:before="0"/>
        <w:jc w:val="both"/>
      </w:pPr>
      <w:r>
        <w:rPr>
          <w:rFonts w:ascii="Calibri" w:cs="Calibri" w:eastAsia="Calibri" w:hAnsi="Calibri"/>
          <w:color w:val="333333"/>
          <w:sz w:val="22"/>
          <w:szCs w:val="22"/>
        </w:rPr>
        <w:t xml:space="preserve">The Audit Committee package shall include all items required by the committee charter: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statements and earnings release (before public disclosure)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Critical accounting estimates and significant judgments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status: testing progress, deficiencies, remediation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audit report: completed audits, findings, management responses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auditor report: audit status, issues identified, independence confirmation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Whistleblower hotline activity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Related party transaction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provision and ETR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and risk management update (annually)</w:t>
      </w:r>
    </w:p>
    <w:p>
      <w:pPr>
        <w:pStyle w:val="Heading2"/>
        <w:spacing w:after="150" w:before="300"/>
      </w:pPr>
      <w:r>
        <w:rPr>
          <w:rFonts w:ascii="Georgia" w:cs="Georgia" w:eastAsia="Georgia" w:hAnsi="Georgia"/>
          <w:b/>
          <w:bCs/>
          <w:color w:val="333333"/>
          <w:sz w:val="26"/>
          <w:szCs w:val="26"/>
        </w:rPr>
        <w:t xml:space="preserve">5.3 Annual Board Presentations</w:t>
      </w:r>
    </w:p>
    <w:p>
      <w:pPr>
        <w:pStyle w:val="Heading3"/>
        <w:spacing w:after="100" w:before="200"/>
      </w:pPr>
      <w:r>
        <w:rPr>
          <w:rFonts w:ascii="Georgia" w:cs="Georgia" w:eastAsia="Georgia" w:hAnsi="Georgia"/>
          <w:b/>
          <w:bCs/>
          <w:color w:val="444444"/>
          <w:sz w:val="22"/>
          <w:szCs w:val="22"/>
        </w:rPr>
        <w:t xml:space="preserve">5.3.1 Annual Budget Presentation</w:t>
      </w:r>
    </w:p>
    <w:p>
      <w:pPr>
        <w:spacing w:after="150" w:before="0"/>
        <w:jc w:val="both"/>
      </w:pPr>
      <w:r>
        <w:rPr>
          <w:rFonts w:ascii="Calibri" w:cs="Calibri" w:eastAsia="Calibri" w:hAnsi="Calibri"/>
          <w:color w:val="333333"/>
          <w:sz w:val="22"/>
          <w:szCs w:val="22"/>
        </w:rPr>
        <w:t xml:space="preserve">The budget presentation to the Board shall include: strategic context and planning assumptions, revenue plan by segment, expense plan with headcount, capital expenditure plan with ROI analysis, cash flow and balance sheet projections, scenario analysis (base, upside, downside), and key risks and sensitivities.</w:t>
      </w:r>
    </w:p>
    <w:p>
      <w:pPr>
        <w:pStyle w:val="Heading3"/>
        <w:spacing w:after="100" w:before="200"/>
      </w:pPr>
      <w:r>
        <w:rPr>
          <w:rFonts w:ascii="Georgia" w:cs="Georgia" w:eastAsia="Georgia" w:hAnsi="Georgia"/>
          <w:b/>
          <w:bCs/>
          <w:color w:val="444444"/>
          <w:sz w:val="22"/>
          <w:szCs w:val="22"/>
        </w:rPr>
        <w:t xml:space="preserve">5.3.2 Year-End Audit Results</w:t>
      </w:r>
    </w:p>
    <w:p>
      <w:pPr>
        <w:spacing w:after="150" w:before="0"/>
        <w:jc w:val="both"/>
      </w:pPr>
      <w:r>
        <w:rPr>
          <w:rFonts w:ascii="Calibri" w:cs="Calibri" w:eastAsia="Calibri" w:hAnsi="Calibri"/>
          <w:color w:val="333333"/>
          <w:sz w:val="22"/>
          <w:szCs w:val="22"/>
        </w:rPr>
        <w:t xml:space="preserve">The year-end audit presentation (typically at the Q1 Board meeting) shall include: final audited financial statements, auditor's report and opinion, critical audit matters, management letter findings and remediation, control deficiency summary, and accounting standards updates for the coming year.</w:t>
      </w:r>
    </w:p>
    <w:p>
      <w:pPr>
        <w:pStyle w:val="Heading2"/>
        <w:spacing w:after="150" w:before="300"/>
      </w:pPr>
      <w:r>
        <w:rPr>
          <w:rFonts w:ascii="Georgia" w:cs="Georgia" w:eastAsia="Georgia" w:hAnsi="Georgia"/>
          <w:b/>
          <w:bCs/>
          <w:color w:val="333333"/>
          <w:sz w:val="26"/>
          <w:szCs w:val="26"/>
        </w:rPr>
        <w:t xml:space="preserve">5.4 Special Reporting</w:t>
      </w:r>
    </w:p>
    <w:p>
      <w:pPr>
        <w:pStyle w:val="Heading3"/>
        <w:spacing w:after="100" w:before="200"/>
      </w:pPr>
      <w:r>
        <w:rPr>
          <w:rFonts w:ascii="Georgia" w:cs="Georgia" w:eastAsia="Georgia" w:hAnsi="Georgia"/>
          <w:b/>
          <w:bCs/>
          <w:color w:val="444444"/>
          <w:sz w:val="22"/>
          <w:szCs w:val="22"/>
        </w:rPr>
        <w:t xml:space="preserve">5.4.1 M&amp;A Reporting</w:t>
      </w:r>
    </w:p>
    <w:p>
      <w:pPr>
        <w:spacing w:after="150" w:before="0"/>
        <w:jc w:val="both"/>
      </w:pPr>
      <w:r>
        <w:rPr>
          <w:rFonts w:ascii="Calibri" w:cs="Calibri" w:eastAsia="Calibri" w:hAnsi="Calibri"/>
          <w:color w:val="333333"/>
          <w:sz w:val="22"/>
          <w:szCs w:val="22"/>
        </w:rPr>
        <w:t xml:space="preserve">Material M&amp;A transactions require dedicated Board reporting including: strategic rationale, target financial profile, valuation analysis, due diligence findings, financing plan, integration approach, and risk factors.</w:t>
      </w:r>
    </w:p>
    <w:p>
      <w:pPr>
        <w:pStyle w:val="Heading3"/>
        <w:spacing w:after="100" w:before="200"/>
      </w:pPr>
      <w:r>
        <w:rPr>
          <w:rFonts w:ascii="Georgia" w:cs="Georgia" w:eastAsia="Georgia" w:hAnsi="Georgia"/>
          <w:b/>
          <w:bCs/>
          <w:color w:val="444444"/>
          <w:sz w:val="22"/>
          <w:szCs w:val="22"/>
        </w:rPr>
        <w:t xml:space="preserve">5.4.2 Crisis Reporting</w:t>
      </w:r>
    </w:p>
    <w:p>
      <w:pPr>
        <w:spacing w:after="150" w:before="0"/>
        <w:jc w:val="both"/>
      </w:pPr>
      <w:r>
        <w:rPr>
          <w:rFonts w:ascii="Calibri" w:cs="Calibri" w:eastAsia="Calibri" w:hAnsi="Calibri"/>
          <w:color w:val="333333"/>
          <w:sz w:val="22"/>
          <w:szCs w:val="22"/>
        </w:rPr>
        <w:t xml:space="preserve">Material adverse events require immediate Board notification (within [24] hours) followed by a structured crisis report covering: event description, financial impact assessment, response actions taken, legal and regulatory implications, and communication plan.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Reporting 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Board package distribution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 review before distribution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Financial results accuracy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certification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Earnings release (before public release)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Audit Committee review and 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Non-GAAP measure introduction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Audit Committee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Special board meeting request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Material events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or Board Chair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Board material confidentiality classification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Financial information that is materially inaccurate after distribution to the Board shall be corrected immediately. The CFO shall notify the Board Chair and Audit Committee Chair of the error and distribute a correction within [24] hours. Events requiring immediate Board notification (not waiting for the next scheduled meeting) include: potential material misstatement or restatement, fraud involving senior management, material breach of debt covenants, receipt of SEC comment letter or Wells notice, and resignation of the external auditor.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materials distributed [5] business days before each meeting: 100%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Audit Committee charter requirements fulfilled at each meeting: verified by General Counsel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meeting minutes completed and distributed within [10] business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board effectiveness survey completed</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Material distribution timeliness (5+ days before meeting)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 charter compliance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required items addressed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Minutes distributed within 10 business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Director satisfaction with financial reporting quality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Survey results reviewed annually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Related Party Transactions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NYSE / NASDAQ Listing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Sections 301, 302, 404</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Regulation S-K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Board Package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Agenda and prior meeting minutes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CEO strategic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CFO financial performance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KPI dashboard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Updated forecast or budget comparison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Risk and compliance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Committee reports (Audit, Compensation, Nominating)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Consent agenda items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Any special topic presentations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Upcoming calendar and action items</w:t>
      </w:r>
    </w:p>
    <w:p>
      <w:pPr>
        <w:pStyle w:val="Heading2"/>
        <w:spacing w:after="150" w:before="300"/>
      </w:pPr>
      <w:r>
        <w:rPr>
          <w:rFonts w:ascii="Georgia" w:cs="Georgia" w:eastAsia="Georgia" w:hAnsi="Georgia"/>
          <w:b/>
          <w:bCs/>
          <w:color w:val="333333"/>
          <w:sz w:val="26"/>
          <w:szCs w:val="26"/>
        </w:rPr>
        <w:t xml:space="preserve">Appendix B — Audit Committee Annual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Quarter</w:t>
            </w:r>
          </w:p>
        </w:tc>
        <w:tc>
          <w:tcPr>
            <w:tcW w:type="dxa" w:w="6160"/>
            <w:shd w:fill="0C0C0C" w:val="clear"/>
          </w:tcPr>
          <w:p>
            <w:pPr>
              <w:spacing w:after="60" w:before="60"/>
            </w:pPr>
            <w:r>
              <w:rPr>
                <w:rFonts w:ascii="Calibri" w:cs="Calibri" w:eastAsia="Calibri" w:hAnsi="Calibri"/>
                <w:b/>
                <w:bCs/>
                <w:color w:val="D4AF37"/>
                <w:sz w:val="20"/>
                <w:szCs w:val="20"/>
              </w:rPr>
              <w:t xml:space="preserve">Key Agenda Items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Q1</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Year-end audit results, auditor opinion, management letter, 10-K review, auditor fees approval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Q2</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Q1 10-Q review, internal audit plan, risk assessment update, compliance program review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Q3</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Q2 10-Q review, preliminary budget assumptions, insurance renewal review</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Q4</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Q3 10-Q review, annual budget review, audit plan for coming year, committee self-evaluation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Board &amp; Audit Committee Reporting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2026-07-13T07:44:23.396Z</dcterms:created>
  <dcterms:modified xsi:type="dcterms:W3CDTF">2026-07-13T07:44:23.396Z</dcterms:modified>
</cp:coreProperties>
</file>

<file path=docProps/custom.xml><?xml version="1.0" encoding="utf-8"?>
<Properties xmlns="http://schemas.openxmlformats.org/officeDocument/2006/custom-properties" xmlns:vt="http://schemas.openxmlformats.org/officeDocument/2006/docPropsVTypes"/>
</file>