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Investment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Investment Policy establishes the standards, procedures, and controls governing the investment of [Company Name]'s surplus cash and short-term funds. The policy ensures that investments preserve capital, maintain adequate liquidity, and generate reasonable returns within acceptable risk parameters.</w:t>
      </w:r>
    </w:p>
    <w:p>
      <w:pPr>
        <w:spacing w:after="150" w:before="0"/>
        <w:jc w:val="both"/>
      </w:pPr>
      <w:r>
        <w:rPr>
          <w:rFonts w:ascii="Calibri" w:cs="Calibri" w:eastAsia="Calibri" w:hAnsi="Calibri"/>
          <w:color w:val="333333"/>
          <w:sz w:val="22"/>
          <w:szCs w:val="22"/>
        </w:rPr>
        <w:t xml:space="preserve">This policy applies to all cash, cash equivalents, and short-term investments managed by [Company Name]'s treasury function, including operating cash, strategic reserves, restricted cash, and any funds held in trust or escrow.</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Preserve capital — no investment shall expose [Company Name] to material risk of principal loss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liquidity — investments shall be structured to meet all operating and strategic cash needs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Generate yield — within the constraints of safety and liquidity, investments shall earn a competitive return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all applicable laws, regulations, and debt agreement restrictions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Diversify investments to limit concentration risk</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Cash Equivalents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Short-term, highly liquid investments with original maturities of three months or less (e.g., money market funds, T-bills).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Short-Term Investments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Investments with original maturities greater than three months but less than one year.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Permitted Investments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specific investment types authorized by this policy.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Duration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measure of the sensitivity of an investment's price to changes in interest rates.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Credit Quality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creditworthiness of the investment issuer, measured by ratings from recognized agencies.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Concentration Limit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maximum percentage of the portfolio that may be invested with a single issuer or in a single instrument type.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Benchmark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reference rate or index against which portfolio performance is measured (e.g., 3-month T-bill rate).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Weighted Average Maturity (WAM)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average maturity of all investments in the portfolio, weighted by their principal amounts.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Money Market Fund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mutual fund investing in short-term debt securities, regulated under SEC Rule 2a-7.</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Sweep Account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automated arrangement where excess bank balances are invested overnight in approved vehicles.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Investment Priorities</w:t>
      </w:r>
    </w:p>
    <w:p>
      <w:pPr>
        <w:spacing w:after="150" w:before="0"/>
        <w:jc w:val="both"/>
      </w:pPr>
      <w:r>
        <w:rPr>
          <w:rFonts w:ascii="Calibri" w:cs="Calibri" w:eastAsia="Calibri" w:hAnsi="Calibri"/>
          <w:color w:val="333333"/>
          <w:sz w:val="22"/>
          <w:szCs w:val="22"/>
        </w:rPr>
        <w:t xml:space="preserve">Investment decisions shall follow this priority hierarchy:</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Safety of principal — preservation of capital is the primary objective; no investment shall be made where there is meaningful risk of principal loss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Liquidity — investments shall be sufficiently liquid to meet all anticipated and unanticipated cash needs without forced sale at a loss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Yield — within the constraints of safety and liquidity, investments shall earn a competitive return relative to the benchmark</w:t>
      </w:r>
    </w:p>
    <w:p>
      <w:pPr>
        <w:pStyle w:val="Heading2"/>
        <w:spacing w:after="150" w:before="300"/>
      </w:pPr>
      <w:r>
        <w:rPr>
          <w:rFonts w:ascii="Georgia" w:cs="Georgia" w:eastAsia="Georgia" w:hAnsi="Georgia"/>
          <w:b/>
          <w:bCs/>
          <w:color w:val="333333"/>
          <w:sz w:val="26"/>
          <w:szCs w:val="26"/>
        </w:rPr>
        <w:t xml:space="preserve">3.2 Permitted Investments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Investment Type</w:t>
            </w:r>
          </w:p>
        </w:tc>
        <w:tc>
          <w:tcPr>
            <w:tcW w:type="dxa" w:w="6160"/>
            <w:shd w:fill="0C0C0C" w:val="clear"/>
          </w:tcPr>
          <w:p>
            <w:pPr>
              <w:spacing w:after="60" w:before="60"/>
            </w:pPr>
            <w:r>
              <w:rPr>
                <w:rFonts w:ascii="Calibri" w:cs="Calibri" w:eastAsia="Calibri" w:hAnsi="Calibri"/>
                <w:b/>
                <w:bCs/>
                <w:color w:val="D4AF37"/>
                <w:sz w:val="20"/>
                <w:szCs w:val="20"/>
              </w:rPr>
              <w:t xml:space="preserve">Maximum Allocation / Limits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 Treasury securities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Unlimited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US Government agency securities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[50%] of portfolio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Money market funds (government)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Unlimited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Money market funds (prime, Rule 2a-7)</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[40%] of portfolio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Commercial paper (A-1/P-1 rated)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[30%] of portfolio; max [5%] per issuer; maturity &lt; 90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Certificates of deposit (FDIC-insured)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[30%] of portfolio; within FDIC limits per institution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Corporate bonds (A- or better)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[20%] of portfolio; max [5%] per issuer; maturity &lt;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Municipal securities (AA- or better)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[15%] of portfolio; maturity &lt; 12 months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Bank deposit accounts (FDIC-insured)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FDIC limits per institution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Repurchase agreements (US Treasury collateral)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[20%] of portfolio; collateral margin &gt;[102%]</w:t>
            </w:r>
          </w:p>
        </w:tc>
      </w:tr>
    </w:tbl>
    <w:p>
      <w:pPr>
        <w:pStyle w:val="Heading2"/>
        <w:spacing w:after="150" w:before="300"/>
      </w:pPr>
      <w:r>
        <w:rPr>
          <w:rFonts w:ascii="Georgia" w:cs="Georgia" w:eastAsia="Georgia" w:hAnsi="Georgia"/>
          <w:b/>
          <w:bCs/>
          <w:color w:val="333333"/>
          <w:sz w:val="26"/>
          <w:szCs w:val="26"/>
        </w:rPr>
        <w:t xml:space="preserve">3.3 Prohibited Investments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securities, derivatives, or structured products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Investments rated below A- (or A3/A-1/P-1 for short-term)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Mortgage-backed securities or asset-backed securities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currency-denominated investments (unless hedging a specific liability)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Investments with maturities exceeding [12] months without CFO 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Any investment not specifically listed as a permitted investment</w:t>
      </w:r>
    </w:p>
    <w:p>
      <w:pPr>
        <w:pStyle w:val="Heading2"/>
        <w:spacing w:after="150" w:before="300"/>
      </w:pPr>
      <w:r>
        <w:rPr>
          <w:rFonts w:ascii="Georgia" w:cs="Georgia" w:eastAsia="Georgia" w:hAnsi="Georgia"/>
          <w:b/>
          <w:bCs/>
          <w:color w:val="333333"/>
          <w:sz w:val="26"/>
          <w:szCs w:val="26"/>
        </w:rPr>
        <w:t xml:space="preserve">3.4 Portfolio Constraints</w:t>
      </w:r>
    </w:p>
    <w:p>
      <w:pPr>
        <w:spacing w:after="150" w:before="0"/>
        <w:jc w:val="both"/>
      </w:pPr>
      <w:r>
        <w:rPr>
          <w:rFonts w:ascii="Calibri" w:cs="Calibri" w:eastAsia="Calibri" w:hAnsi="Calibri"/>
          <w:color w:val="333333"/>
          <w:sz w:val="22"/>
          <w:szCs w:val="22"/>
        </w:rPr>
        <w:t xml:space="preserve">The investment portfolio shall be managed within these constraints: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Maximum weighted average maturity: [90]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Maximum single security maturity: [12] months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Maximum concentration per issuer (non-US government): [5%] of portfolio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Maximum concentration per instrument type: per the table above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Minimum credit quality: A- or equivalent (at time of purchase)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investment policy. Reviews portfolio performance quarterly. Approves exceptions to policy limits.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day-to-day investment activities. Executes investment transactions. Monitors compliance with policy limits. Reports portfolio performance.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investment accounting and classification per ASC 320/321. Ensures proper fair value measurement. Reviews unrealized gain/loss recognition.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investment controls periodically. Verifies custody and valuation. Reviews policy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Investment Advisor (if engaged)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market intelligence. Executes trades per policy guidelines. Reports portfolio analytics.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Cash Forecasting</w:t>
      </w:r>
    </w:p>
    <w:p>
      <w:pPr>
        <w:spacing w:after="150" w:before="0"/>
        <w:jc w:val="both"/>
      </w:pPr>
      <w:r>
        <w:rPr>
          <w:rFonts w:ascii="Calibri" w:cs="Calibri" w:eastAsia="Calibri" w:hAnsi="Calibri"/>
          <w:color w:val="333333"/>
          <w:sz w:val="22"/>
          <w:szCs w:val="22"/>
        </w:rPr>
        <w:t xml:space="preserve">Investment decisions shall be informed by the cash forecast maintained by Treasury (per the Cash &amp; Treasury Management Policy). The cash forecast determines: the amount available for investment (surplus above minimum operating cash requirements), the time horizon for investment (matching maturities to anticipated cash needs), and the liquidity requirements (percentage of portfolio that must be available within [1] business day).</w:t>
      </w:r>
    </w:p>
    <w:p>
      <w:pPr>
        <w:pStyle w:val="Heading2"/>
        <w:spacing w:after="150" w:before="300"/>
      </w:pPr>
      <w:r>
        <w:rPr>
          <w:rFonts w:ascii="Georgia" w:cs="Georgia" w:eastAsia="Georgia" w:hAnsi="Georgia"/>
          <w:b/>
          <w:bCs/>
          <w:color w:val="333333"/>
          <w:sz w:val="26"/>
          <w:szCs w:val="26"/>
        </w:rPr>
        <w:t xml:space="preserve">5.2 Investment Execution</w:t>
      </w:r>
    </w:p>
    <w:p>
      <w:pPr>
        <w:pStyle w:val="Heading3"/>
        <w:spacing w:after="100" w:before="200"/>
      </w:pPr>
      <w:r>
        <w:rPr>
          <w:rFonts w:ascii="Georgia" w:cs="Georgia" w:eastAsia="Georgia" w:hAnsi="Georgia"/>
          <w:b/>
          <w:bCs/>
          <w:color w:val="444444"/>
          <w:sz w:val="22"/>
          <w:szCs w:val="22"/>
        </w:rPr>
        <w:t xml:space="preserve">5.2.1 Transaction Authorization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Investment Amount</w:t>
            </w:r>
          </w:p>
        </w:tc>
        <w:tc>
          <w:tcPr>
            <w:tcW w:type="dxa" w:w="2400"/>
            <w:shd w:fill="0C0C0C" w:val="clear"/>
          </w:tcPr>
          <w:p>
            <w:pPr>
              <w:spacing w:after="60" w:before="60"/>
            </w:pPr>
            <w:r>
              <w:rPr>
                <w:rFonts w:ascii="Calibri" w:cs="Calibri" w:eastAsia="Calibri" w:hAnsi="Calibri"/>
                <w:b/>
                <w:bCs/>
                <w:color w:val="D4AF37"/>
                <w:sz w:val="20"/>
                <w:szCs w:val="20"/>
              </w:rPr>
              <w:t xml:space="preserve">Maturity</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$5M</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30 days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Treasury Analyst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$5M - $25M</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90 days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&gt; $25M</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90 days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CFO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Any amount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90 days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CFO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Any amount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6 months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bl>
    <w:p>
      <w:pPr>
        <w:pStyle w:val="Heading3"/>
        <w:spacing w:after="100" w:before="200"/>
      </w:pPr>
      <w:r>
        <w:rPr>
          <w:rFonts w:ascii="Georgia" w:cs="Georgia" w:eastAsia="Georgia" w:hAnsi="Georgia"/>
          <w:b/>
          <w:bCs/>
          <w:color w:val="444444"/>
          <w:sz w:val="22"/>
          <w:szCs w:val="22"/>
        </w:rPr>
        <w:t xml:space="preserve">5.2.2 Best Execution</w:t>
      </w:r>
    </w:p>
    <w:p>
      <w:pPr>
        <w:spacing w:after="150" w:before="0"/>
        <w:jc w:val="both"/>
      </w:pPr>
      <w:r>
        <w:rPr>
          <w:rFonts w:ascii="Calibri" w:cs="Calibri" w:eastAsia="Calibri" w:hAnsi="Calibri"/>
          <w:color w:val="333333"/>
          <w:sz w:val="22"/>
          <w:szCs w:val="22"/>
        </w:rPr>
        <w:t xml:space="preserve">For investments exceeding [$X], Treasury shall obtain at least [2] competitive quotes. For money market fund investments, trades shall be executed at NAV. All trades shall be confirmed in writing on the trade date.</w:t>
      </w:r>
    </w:p>
    <w:p>
      <w:pPr>
        <w:pStyle w:val="Heading2"/>
        <w:spacing w:after="150" w:before="300"/>
      </w:pPr>
      <w:r>
        <w:rPr>
          <w:rFonts w:ascii="Georgia" w:cs="Georgia" w:eastAsia="Georgia" w:hAnsi="Georgia"/>
          <w:b/>
          <w:bCs/>
          <w:color w:val="333333"/>
          <w:sz w:val="26"/>
          <w:szCs w:val="26"/>
        </w:rPr>
        <w:t xml:space="preserve">5.3 Custody and Safekeeping</w:t>
      </w:r>
    </w:p>
    <w:p>
      <w:pPr>
        <w:spacing w:after="150" w:before="0"/>
        <w:jc w:val="both"/>
      </w:pPr>
      <w:r>
        <w:rPr>
          <w:rFonts w:ascii="Calibri" w:cs="Calibri" w:eastAsia="Calibri" w:hAnsi="Calibri"/>
          <w:color w:val="333333"/>
          <w:sz w:val="22"/>
          <w:szCs w:val="22"/>
        </w:rPr>
        <w:t xml:space="preserve">All investment securities shall be held in custody by an approved custodian bank. Securities shall not be held in [Company Name]'s name at the issuer (physical certificates). The custodian shall provide monthly statements reconciled by Treasury to the investment tracking system and by the Controller to the GL.</w:t>
      </w:r>
    </w:p>
    <w:p>
      <w:pPr>
        <w:pStyle w:val="Heading2"/>
        <w:spacing w:after="150" w:before="300"/>
      </w:pPr>
      <w:r>
        <w:rPr>
          <w:rFonts w:ascii="Georgia" w:cs="Georgia" w:eastAsia="Georgia" w:hAnsi="Georgia"/>
          <w:b/>
          <w:bCs/>
          <w:color w:val="333333"/>
          <w:sz w:val="26"/>
          <w:szCs w:val="26"/>
        </w:rPr>
        <w:t xml:space="preserve">5.4 Credit Monitoring</w:t>
      </w:r>
    </w:p>
    <w:p>
      <w:pPr>
        <w:spacing w:after="150" w:before="0"/>
        <w:jc w:val="both"/>
      </w:pPr>
      <w:r>
        <w:rPr>
          <w:rFonts w:ascii="Calibri" w:cs="Calibri" w:eastAsia="Calibri" w:hAnsi="Calibri"/>
          <w:color w:val="333333"/>
          <w:sz w:val="22"/>
          <w:szCs w:val="22"/>
        </w:rPr>
        <w:t xml:space="preserve">Treasury shall monitor the credit quality of all portfolio holdings continuously. If an issuer's credit rating falls below the minimum required by this policy: no additional purchases of that issuer's securities are permitted, existing holdings shall be evaluated for sale (considering remaining maturity and market conditions), and the CFO shall be notified within [24] hours. Securities that default or are placed on credit watch shall be reported to the CFO immediately.</w:t>
      </w:r>
    </w:p>
    <w:p>
      <w:pPr>
        <w:pStyle w:val="Heading2"/>
        <w:spacing w:after="150" w:before="300"/>
      </w:pPr>
      <w:r>
        <w:rPr>
          <w:rFonts w:ascii="Georgia" w:cs="Georgia" w:eastAsia="Georgia" w:hAnsi="Georgia"/>
          <w:b/>
          <w:bCs/>
          <w:color w:val="333333"/>
          <w:sz w:val="26"/>
          <w:szCs w:val="26"/>
        </w:rPr>
        <w:t xml:space="preserve">5.5 Performance Reporting</w:t>
      </w:r>
    </w:p>
    <w:p>
      <w:pPr>
        <w:spacing w:after="150" w:before="0"/>
        <w:jc w:val="both"/>
      </w:pPr>
      <w:r>
        <w:rPr>
          <w:rFonts w:ascii="Calibri" w:cs="Calibri" w:eastAsia="Calibri" w:hAnsi="Calibri"/>
          <w:color w:val="333333"/>
          <w:sz w:val="22"/>
          <w:szCs w:val="22"/>
        </w:rPr>
        <w:t xml:space="preserve">Treasury shall prepare a monthly investment portfolio report including: total portfolio value and composition by instrument type, weighted average yield and WAM, compliance with all policy limits, comparison to benchmark (3-month T-bill rate or agreed benchmark), unrealized gains and losses, and any credit quality changes.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p>
      <w:pPr>
        <w:spacing w:after="150" w:before="0"/>
        <w:jc w:val="both"/>
      </w:pPr>
      <w:r>
        <w:rPr>
          <w:rFonts w:ascii="Calibri" w:cs="Calibri" w:eastAsia="Calibri" w:hAnsi="Calibri"/>
          <w:color w:val="333333"/>
          <w:sz w:val="22"/>
          <w:szCs w:val="22"/>
        </w:rPr>
        <w:t xml:space="preserve">See Section 5.2.1 for transaction authorization. Additional authorities: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Investment policy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Annual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instrument type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custodian or counterparty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Exception to concentration limits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(documented)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Investment maturity &gt; 12 months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Temporary exceptions to policy limits may occur due to market conditions (e.g., a downgrade creates a concentration breach). The Treasurer shall notify the CFO within [24] hours and present a plan to bring the portfolio back into compliance within [30] days. Permanent exceptions require CFO approval and Board notification. Investments in instruments not listed as permitted require CFO approval and a policy amendment.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portfolio compliance check against all policy limits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portfolio report to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portfolio review with CFO (performance, risk, strategy)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investment policy review and Board/Audit Committee 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investment controls and custody</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Policy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(zero limit breaches)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Portfolio yield vs. benchmark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At or above benchmark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Weighted average maturity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[90]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Credit quality (% of portfolio A- or better)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Liquidity (% available within 1 business day)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[50%]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320, Investments — Debt Securities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321, Investments — Equity Securities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820, Fair Value Measurement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Approved Counterparties and Custodians</w:t>
      </w:r>
    </w:p>
    <w:p>
      <w:pPr>
        <w:spacing w:after="150" w:before="0"/>
        <w:jc w:val="both"/>
      </w:pPr>
      <w:r>
        <w:rPr>
          <w:rFonts w:ascii="Calibri" w:cs="Calibri" w:eastAsia="Calibri" w:hAnsi="Calibri"/>
          <w:color w:val="333333"/>
          <w:sz w:val="22"/>
          <w:szCs w:val="22"/>
        </w:rPr>
        <w:t xml:space="preserve">[Company Name] maintains a list of approved counterparties for investment transactions and approved custodian banks. The list is maintained by the Treasurer and reviewed annually. Additions require CFO approval.</w:t>
      </w:r>
    </w:p>
    <w:p>
      <w:pPr>
        <w:pStyle w:val="Heading2"/>
        <w:spacing w:after="150" w:before="300"/>
      </w:pPr>
      <w:r>
        <w:rPr>
          <w:rFonts w:ascii="Georgia" w:cs="Georgia" w:eastAsia="Georgia" w:hAnsi="Georgia"/>
          <w:b/>
          <w:bCs/>
          <w:color w:val="333333"/>
          <w:sz w:val="26"/>
          <w:szCs w:val="26"/>
        </w:rPr>
        <w:t xml:space="preserve">Appendix B — Portfolio Report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Instrument</w:t>
            </w:r>
          </w:p>
        </w:tc>
        <w:tc>
          <w:tcPr>
            <w:tcW w:type="dxa" w:w="2400"/>
            <w:shd w:fill="0C0C0C" w:val="clear"/>
          </w:tcPr>
          <w:p>
            <w:pPr>
              <w:spacing w:after="60" w:before="60"/>
            </w:pPr>
            <w:r>
              <w:rPr>
                <w:rFonts w:ascii="Calibri" w:cs="Calibri" w:eastAsia="Calibri" w:hAnsi="Calibri"/>
                <w:b/>
                <w:bCs/>
                <w:color w:val="D4AF37"/>
                <w:sz w:val="20"/>
                <w:szCs w:val="20"/>
              </w:rPr>
              <w:t xml:space="preserve">Par Value</w:t>
            </w:r>
          </w:p>
        </w:tc>
        <w:tc>
          <w:tcPr>
            <w:tcW w:type="dxa" w:w="4560"/>
            <w:shd w:fill="0C0C0C" w:val="clear"/>
          </w:tcPr>
          <w:p>
            <w:pPr>
              <w:spacing w:after="60" w:before="60"/>
            </w:pPr>
            <w:r>
              <w:rPr>
                <w:rFonts w:ascii="Calibri" w:cs="Calibri" w:eastAsia="Calibri" w:hAnsi="Calibri"/>
                <w:b/>
                <w:bCs/>
                <w:color w:val="D4AF37"/>
                <w:sz w:val="20"/>
                <w:szCs w:val="20"/>
              </w:rPr>
              <w:t xml:space="preserve">Market Value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US Treasury Bill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Government MMF</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Commercial Paper — [Issuer]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Full template includes all holdings with compliance status indicators for each policy limit.</w:t>
      </w:r>
    </w:p>
    <w:p>
      <w:pPr>
        <w:pStyle w:val="Heading2"/>
        <w:spacing w:after="150" w:before="300"/>
      </w:pPr>
      <w:r>
        <w:rPr>
          <w:rFonts w:ascii="Georgia" w:cs="Georgia" w:eastAsia="Georgia" w:hAnsi="Georgia"/>
          <w:b/>
          <w:bCs/>
          <w:color w:val="333333"/>
          <w:sz w:val="26"/>
          <w:szCs w:val="26"/>
        </w:rPr>
        <w:t xml:space="preserve">Appendix C — Debt Agreement Investment Restrictions</w:t>
      </w:r>
    </w:p>
    <w:p>
      <w:pPr>
        <w:spacing w:after="150" w:before="0"/>
        <w:jc w:val="both"/>
      </w:pPr>
      <w:r>
        <w:rPr>
          <w:rFonts w:ascii="Calibri" w:cs="Calibri" w:eastAsia="Calibri" w:hAnsi="Calibri"/>
          <w:color w:val="333333"/>
          <w:sz w:val="22"/>
          <w:szCs w:val="22"/>
        </w:rPr>
        <w:t xml:space="preserve">Certain debt agreements may restrict the types, amounts, or maturities of permitted investments. The Treasurer shall maintain a summary of investment restrictions from all active debt agreements and ensure the investment portfolio complies with the most restrictive applicable requirement.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Investment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2026-07-13T07:44:23.206Z</dcterms:created>
  <dcterms:modified xsi:type="dcterms:W3CDTF">2026-07-13T07:44:23.206Z</dcterms:modified>
</cp:coreProperties>
</file>

<file path=docProps/custom.xml><?xml version="1.0" encoding="utf-8"?>
<Properties xmlns="http://schemas.openxmlformats.org/officeDocument/2006/custom-properties" xmlns:vt="http://schemas.openxmlformats.org/officeDocument/2006/docPropsVTypes"/>
</file>