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Foreign Currency Management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Foreign Currency Management Policy establishes the standards, procedures, and controls governing how [Company Name] identifies, measures, and manages foreign currency exposure. The policy ensures compliance with ASC 830 (Foreign Currency Matters) and ASC 815 (Derivatives and Hedging) and provides a framework for managing transaction, translation, and economic currency risks.</w:t>
      </w:r>
    </w:p>
    <w:p>
      <w:pPr>
        <w:spacing w:after="150" w:before="0"/>
        <w:jc w:val="both"/>
      </w:pPr>
      <w:r>
        <w:rPr>
          <w:rFonts w:ascii="Calibri" w:cs="Calibri" w:eastAsia="Calibri" w:hAnsi="Calibri"/>
          <w:color w:val="333333"/>
          <w:sz w:val="22"/>
          <w:szCs w:val="22"/>
        </w:rPr>
        <w:t xml:space="preserve">This policy applies to all foreign currency transactions, foreign subsidiary financial statement translation, and hedging activities conducted by [Company Name] and its consolidated subsidiaries.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and quantify foreign currency exposures across all business activities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hedging framework that reduces earnings volatility from currency fluctuations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accounting for foreign currency transactions and translation per ASC 830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hedge accounting requirements under ASC 815 where applied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hedging costs while maintaining effective risk mitigation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Prohibit speculative foreign currency trading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Functional Currency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currency of the primary economic environment in which an entity operates (typically the currency in which it generates and expends cash).</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Transaction Exposure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risk that exchange rate changes will affect the value of foreign currency-denominated receivables, payables, and commitments.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Translation Exposure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risk that exchange rate changes will affect the consolidated financial statements when translating foreign subsidiary results.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Economic Exposure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broader impact of exchange rate changes on future cash flows, competitive position, and enterprise value.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Forward Contract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agreement to buy or sell a specified amount of foreign currency at a predetermined rate on a future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Option Contract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contract giving the holder the right, but not the obligation, to buy or sell currency at a specified rate.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Cross-Currency Swap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agreement to exchange principal and interest payments in different currencies.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Natural Hedge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reduction in currency exposure through operational means (matching revenue and cost currencies, local sourcing).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CTA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Cumulative Translation Adjustment — the equity component of accumulated other comprehensive income (AOCI) from translating foreign subsidiary financial statements.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Hedge Effectiveness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degree to which changes in the fair value of the hedging instrument offset changes in the hedged item.</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Hedging Philosophy</w:t>
      </w:r>
    </w:p>
    <w:p>
      <w:pPr>
        <w:spacing w:after="150" w:before="0"/>
        <w:jc w:val="both"/>
      </w:pPr>
      <w:r>
        <w:rPr>
          <w:rFonts w:ascii="Calibri" w:cs="Calibri" w:eastAsia="Calibri" w:hAnsi="Calibri"/>
          <w:color w:val="333333"/>
          <w:sz w:val="22"/>
          <w:szCs w:val="22"/>
        </w:rPr>
        <w:t xml:space="preserve">[Company Name] hedges foreign currency exposures to reduce earnings volatility, not to profit from currency movements. Speculative currency trading is strictly prohibited. All hedging activities must be associated with an identified, underlying business exposure. The hedging program aims to reduce (not eliminate) currency impact within a cost-effective framework.</w:t>
      </w:r>
    </w:p>
    <w:p>
      <w:pPr>
        <w:pStyle w:val="Heading2"/>
        <w:spacing w:after="150" w:before="300"/>
      </w:pPr>
      <w:r>
        <w:rPr>
          <w:rFonts w:ascii="Georgia" w:cs="Georgia" w:eastAsia="Georgia" w:hAnsi="Georgia"/>
          <w:b/>
          <w:bCs/>
          <w:color w:val="333333"/>
          <w:sz w:val="26"/>
          <w:szCs w:val="26"/>
        </w:rPr>
        <w:t xml:space="preserve">3.2 Exposure Identification</w:t>
      </w:r>
    </w:p>
    <w:p>
      <w:pPr>
        <w:spacing w:after="150" w:before="0"/>
        <w:jc w:val="both"/>
      </w:pPr>
      <w:r>
        <w:rPr>
          <w:rFonts w:ascii="Calibri" w:cs="Calibri" w:eastAsia="Calibri" w:hAnsi="Calibri"/>
          <w:color w:val="333333"/>
          <w:sz w:val="22"/>
          <w:szCs w:val="22"/>
        </w:rPr>
        <w:t xml:space="preserve">Treasury shall maintain a comprehensive inventory of foreign currency exposures including: recognized assets and liabilities (receivables, payables denominated in foreign currencies), firm commitments (contracted but unrecognized purchase or sale commitments), forecasted transactions (highly probable future revenue or expenses in foreign currencies), and net investment in foreign operations (subsidiary equity in functional currencies other than USD).</w:t>
      </w:r>
    </w:p>
    <w:p>
      <w:pPr>
        <w:pStyle w:val="Heading2"/>
        <w:spacing w:after="150" w:before="300"/>
      </w:pPr>
      <w:r>
        <w:rPr>
          <w:rFonts w:ascii="Georgia" w:cs="Georgia" w:eastAsia="Georgia" w:hAnsi="Georgia"/>
          <w:b/>
          <w:bCs/>
          <w:color w:val="333333"/>
          <w:sz w:val="26"/>
          <w:szCs w:val="26"/>
        </w:rPr>
        <w:t xml:space="preserve">3.3 Hedging Policy by Exposure 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Exposure Type</w:t>
            </w:r>
          </w:p>
        </w:tc>
        <w:tc>
          <w:tcPr>
            <w:tcW w:type="dxa" w:w="6160"/>
            <w:shd w:fill="0C0C0C" w:val="clear"/>
          </w:tcPr>
          <w:p>
            <w:pPr>
              <w:spacing w:after="60" w:before="60"/>
            </w:pPr>
            <w:r>
              <w:rPr>
                <w:rFonts w:ascii="Calibri" w:cs="Calibri" w:eastAsia="Calibri" w:hAnsi="Calibri"/>
                <w:b/>
                <w:bCs/>
                <w:color w:val="D4AF37"/>
                <w:sz w:val="20"/>
                <w:szCs w:val="20"/>
              </w:rPr>
              <w:t xml:space="preserve">Hedging Approach</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Recognized receivables/payables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Hedge [80-100%] of material exposures upon recognition using forward contracts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Firm commitments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Hedge [80-100%] using forward contracts; may qualify for fair value hedge accounting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Forecasted transactions (0-6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Hedge [50-80%] of highly probable forecasted exposures using forwards or options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Forecasted transactions (6-12 months)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Hedge [25-50%] using options or participating forwards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Forecasted transactions (&gt;12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Generally not hedged unless specifically approved by CFO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Net investment in foreign operations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Evaluated annually; hedged when material and cost-effective</w:t>
            </w:r>
          </w:p>
        </w:tc>
      </w:tr>
    </w:tbl>
    <w:p>
      <w:pPr>
        <w:pStyle w:val="Heading2"/>
        <w:spacing w:after="150" w:before="300"/>
      </w:pPr>
      <w:r>
        <w:rPr>
          <w:rFonts w:ascii="Georgia" w:cs="Georgia" w:eastAsia="Georgia" w:hAnsi="Georgia"/>
          <w:b/>
          <w:bCs/>
          <w:color w:val="333333"/>
          <w:sz w:val="26"/>
          <w:szCs w:val="26"/>
        </w:rPr>
        <w:t xml:space="preserve">3.4 Permitted Instruments</w:t>
      </w:r>
    </w:p>
    <w:p>
      <w:pPr>
        <w:spacing w:after="150" w:before="0"/>
        <w:jc w:val="both"/>
      </w:pPr>
      <w:r>
        <w:rPr>
          <w:rFonts w:ascii="Calibri" w:cs="Calibri" w:eastAsia="Calibri" w:hAnsi="Calibri"/>
          <w:color w:val="333333"/>
          <w:sz w:val="22"/>
          <w:szCs w:val="22"/>
        </w:rPr>
        <w:t xml:space="preserve">[Company Name] may use the following hedging instruments: foreign currency forward contracts, foreign currency option contracts (purchased options; selling naked options is prohibited), cross-currency interest rate swaps, and foreign currency-denominated debt as a net investment hedge. All instruments must be executed with approved counterparties and within approved limits.</w:t>
      </w:r>
    </w:p>
    <w:p>
      <w:pPr>
        <w:pStyle w:val="Heading2"/>
        <w:spacing w:after="150" w:before="300"/>
      </w:pPr>
      <w:r>
        <w:rPr>
          <w:rFonts w:ascii="Georgia" w:cs="Georgia" w:eastAsia="Georgia" w:hAnsi="Georgia"/>
          <w:b/>
          <w:bCs/>
          <w:color w:val="333333"/>
          <w:sz w:val="26"/>
          <w:szCs w:val="26"/>
        </w:rPr>
        <w:t xml:space="preserve">3.5 Counterparty Risk</w:t>
      </w:r>
    </w:p>
    <w:p>
      <w:pPr>
        <w:spacing w:after="150" w:before="0"/>
        <w:jc w:val="both"/>
      </w:pPr>
      <w:r>
        <w:rPr>
          <w:rFonts w:ascii="Calibri" w:cs="Calibri" w:eastAsia="Calibri" w:hAnsi="Calibri"/>
          <w:color w:val="333333"/>
          <w:sz w:val="22"/>
          <w:szCs w:val="22"/>
        </w:rPr>
        <w:t xml:space="preserve">FX hedging instruments shall be executed only with approved counterparties. Approved counterparties must be: rated A- or above by at least one major rating agency, subject to counterparty exposure limits (no more than [40%] of total hedge notional with any single counterparty), and covered by an ISDA Master Agreement with Credit Support Annex. Counterparty exposure shall be monitored monthly.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FX risk management strategy. Approves the hedging policy. Reviews hedge performance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day-to-day FX hedging operations. Executes hedge transactions. Monitors exposures and hedge positions.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Ensures proper accounting for FX transactions, translation, and hedges. Reviews hedge effectiveness testing. Approves hedge accounting designations.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forecasted FX exposures for hedging. Analyzes FX impact on financial results. Supports budget rate setting.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tax implications of hedging strategies. Evaluates Section 988 vs. Section 1256 treatment.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Units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 visibility into foreign currency commitments and forecasted transactions. Price contracts considering FX risk.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Advisor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market intelligence, hedge strategy recommendations, and execution support.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Exposure Measurement</w:t>
      </w:r>
    </w:p>
    <w:p>
      <w:pPr>
        <w:pStyle w:val="Heading3"/>
        <w:spacing w:after="100" w:before="200"/>
      </w:pPr>
      <w:r>
        <w:rPr>
          <w:rFonts w:ascii="Georgia" w:cs="Georgia" w:eastAsia="Georgia" w:hAnsi="Georgia"/>
          <w:b/>
          <w:bCs/>
          <w:color w:val="444444"/>
          <w:sz w:val="22"/>
          <w:szCs w:val="22"/>
        </w:rPr>
        <w:t xml:space="preserve">5.1.1 Monthly Exposure Report</w:t>
      </w:r>
    </w:p>
    <w:p>
      <w:pPr>
        <w:spacing w:after="150" w:before="0"/>
        <w:jc w:val="both"/>
      </w:pPr>
      <w:r>
        <w:rPr>
          <w:rFonts w:ascii="Calibri" w:cs="Calibri" w:eastAsia="Calibri" w:hAnsi="Calibri"/>
          <w:color w:val="333333"/>
          <w:sz w:val="22"/>
          <w:szCs w:val="22"/>
        </w:rPr>
        <w:t xml:space="preserve">Treasury shall prepare a monthly FX exposure report showing: current recognized exposures by currency (AR, AP, intercompany), firm commitments by currency and maturity, forecasted exposures by currency and month (rolling 12 months), existing hedge positions and coverage ratios, and net unhedged exposure by currency.</w:t>
      </w:r>
    </w:p>
    <w:p>
      <w:pPr>
        <w:pStyle w:val="Heading3"/>
        <w:spacing w:after="100" w:before="200"/>
      </w:pPr>
      <w:r>
        <w:rPr>
          <w:rFonts w:ascii="Georgia" w:cs="Georgia" w:eastAsia="Georgia" w:hAnsi="Georgia"/>
          <w:b/>
          <w:bCs/>
          <w:color w:val="444444"/>
          <w:sz w:val="22"/>
          <w:szCs w:val="22"/>
        </w:rPr>
        <w:t xml:space="preserve">5.1.2 Budget Rate Setting</w:t>
      </w:r>
    </w:p>
    <w:p>
      <w:pPr>
        <w:spacing w:after="150" w:before="0"/>
        <w:jc w:val="both"/>
      </w:pPr>
      <w:r>
        <w:rPr>
          <w:rFonts w:ascii="Calibri" w:cs="Calibri" w:eastAsia="Calibri" w:hAnsi="Calibri"/>
          <w:color w:val="333333"/>
          <w:sz w:val="22"/>
          <w:szCs w:val="22"/>
        </w:rPr>
        <w:t xml:space="preserve">[Company Name] shall establish budget FX rates for the annual planning process. Budget rates shall be: based on forward rates at the time of budget preparation (not spot rates), applied consistently across all business units, and used as the baseline for measuring FX impact on actual results. The budget rate methodology shall be documented and approved by the CFO.</w:t>
      </w:r>
    </w:p>
    <w:p>
      <w:pPr>
        <w:pStyle w:val="Heading2"/>
        <w:spacing w:after="150" w:before="300"/>
      </w:pPr>
      <w:r>
        <w:rPr>
          <w:rFonts w:ascii="Georgia" w:cs="Georgia" w:eastAsia="Georgia" w:hAnsi="Georgia"/>
          <w:b/>
          <w:bCs/>
          <w:color w:val="333333"/>
          <w:sz w:val="26"/>
          <w:szCs w:val="26"/>
        </w:rPr>
        <w:t xml:space="preserve">5.2 Hedge Execution</w:t>
      </w:r>
    </w:p>
    <w:p>
      <w:pPr>
        <w:pStyle w:val="Heading3"/>
        <w:spacing w:after="100" w:before="200"/>
      </w:pPr>
      <w:r>
        <w:rPr>
          <w:rFonts w:ascii="Georgia" w:cs="Georgia" w:eastAsia="Georgia" w:hAnsi="Georgia"/>
          <w:b/>
          <w:bCs/>
          <w:color w:val="444444"/>
          <w:sz w:val="22"/>
          <w:szCs w:val="22"/>
        </w:rPr>
        <w:t xml:space="preserve">5.2.1 Hedge Authorization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Hedge Notional</w:t>
            </w:r>
          </w:p>
        </w:tc>
        <w:tc>
          <w:tcPr>
            <w:tcW w:type="dxa" w:w="2400"/>
            <w:shd w:fill="0C0C0C" w:val="clear"/>
          </w:tcPr>
          <w:p>
            <w:pPr>
              <w:spacing w:after="60" w:before="60"/>
            </w:pPr>
            <w:r>
              <w:rPr>
                <w:rFonts w:ascii="Calibri" w:cs="Calibri" w:eastAsia="Calibri" w:hAnsi="Calibri"/>
                <w:b/>
                <w:bCs/>
                <w:color w:val="D4AF37"/>
                <w:sz w:val="20"/>
                <w:szCs w:val="20"/>
              </w:rPr>
              <w:t xml:space="preserve">Tenor</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$5M</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6 months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$5M - $25M</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12 months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CFO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&gt; $25M</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approval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Any amount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12 months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approval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Options (premium-based)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approval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Cross-currency swaps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Any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approval</w:t>
            </w:r>
          </w:p>
        </w:tc>
      </w:tr>
    </w:tbl>
    <w:p>
      <w:pPr>
        <w:pStyle w:val="Heading3"/>
        <w:spacing w:after="100" w:before="200"/>
      </w:pPr>
      <w:r>
        <w:rPr>
          <w:rFonts w:ascii="Georgia" w:cs="Georgia" w:eastAsia="Georgia" w:hAnsi="Georgia"/>
          <w:b/>
          <w:bCs/>
          <w:color w:val="444444"/>
          <w:sz w:val="22"/>
          <w:szCs w:val="22"/>
        </w:rPr>
        <w:t xml:space="preserve">5.2.2 Execution Standards</w:t>
      </w:r>
    </w:p>
    <w:p>
      <w:pPr>
        <w:spacing w:after="150" w:before="0"/>
        <w:jc w:val="both"/>
      </w:pPr>
      <w:r>
        <w:rPr>
          <w:rFonts w:ascii="Calibri" w:cs="Calibri" w:eastAsia="Calibri" w:hAnsi="Calibri"/>
          <w:color w:val="333333"/>
          <w:sz w:val="22"/>
          <w:szCs w:val="22"/>
        </w:rPr>
        <w:t xml:space="preserve">All hedge transactions shall be: executed at competitive market rates (obtain at least 2 quotes for transactions &gt; [$X]), confirmed with the counterparty within 24 hours, recorded in the hedge tracking system on the trade date, and designated for hedge accounting (if applicable) on or before the trade date.</w:t>
      </w:r>
    </w:p>
    <w:p>
      <w:pPr>
        <w:pStyle w:val="Heading2"/>
        <w:spacing w:after="150" w:before="300"/>
      </w:pPr>
      <w:r>
        <w:rPr>
          <w:rFonts w:ascii="Georgia" w:cs="Georgia" w:eastAsia="Georgia" w:hAnsi="Georgia"/>
          <w:b/>
          <w:bCs/>
          <w:color w:val="333333"/>
          <w:sz w:val="26"/>
          <w:szCs w:val="26"/>
        </w:rPr>
        <w:t xml:space="preserve">5.3 Hedge Accounting (ASC 815)</w:t>
      </w:r>
    </w:p>
    <w:p>
      <w:pPr>
        <w:pStyle w:val="Heading3"/>
        <w:spacing w:after="100" w:before="200"/>
      </w:pPr>
      <w:r>
        <w:rPr>
          <w:rFonts w:ascii="Georgia" w:cs="Georgia" w:eastAsia="Georgia" w:hAnsi="Georgia"/>
          <w:b/>
          <w:bCs/>
          <w:color w:val="444444"/>
          <w:sz w:val="22"/>
          <w:szCs w:val="22"/>
        </w:rPr>
        <w:t xml:space="preserve">5.3.1 Hedge Designation</w:t>
      </w:r>
    </w:p>
    <w:p>
      <w:pPr>
        <w:spacing w:after="150" w:before="0"/>
        <w:jc w:val="both"/>
      </w:pPr>
      <w:r>
        <w:rPr>
          <w:rFonts w:ascii="Calibri" w:cs="Calibri" w:eastAsia="Calibri" w:hAnsi="Calibri"/>
          <w:color w:val="333333"/>
          <w:sz w:val="22"/>
          <w:szCs w:val="22"/>
        </w:rPr>
        <w:t xml:space="preserve">Where hedge accounting is applied, the following documentation shall be prepared at inception: identification of the hedging instrument, identification of the hedged item or forecasted transaction, the risk being hedged, the hedge effectiveness assessment methodology (critical terms match or regression analysis), and the company's risk management objective and strategy.</w:t>
      </w:r>
    </w:p>
    <w:p>
      <w:pPr>
        <w:pStyle w:val="Heading3"/>
        <w:spacing w:after="100" w:before="200"/>
      </w:pPr>
      <w:r>
        <w:rPr>
          <w:rFonts w:ascii="Georgia" w:cs="Georgia" w:eastAsia="Georgia" w:hAnsi="Georgia"/>
          <w:b/>
          <w:bCs/>
          <w:color w:val="444444"/>
          <w:sz w:val="22"/>
          <w:szCs w:val="22"/>
        </w:rPr>
        <w:t xml:space="preserve">5.3.2 Effectiveness Testing</w:t>
      </w:r>
    </w:p>
    <w:p>
      <w:pPr>
        <w:spacing w:after="150" w:before="0"/>
        <w:jc w:val="both"/>
      </w:pPr>
      <w:r>
        <w:rPr>
          <w:rFonts w:ascii="Calibri" w:cs="Calibri" w:eastAsia="Calibri" w:hAnsi="Calibri"/>
          <w:color w:val="333333"/>
          <w:sz w:val="22"/>
          <w:szCs w:val="22"/>
        </w:rPr>
        <w:t xml:space="preserve">Hedge effectiveness shall be assessed at inception and on an ongoing basis (at least quarterly). Under ASC 815, qualitative assessments may be used for hedges that meet specified criteria. Quantitative testing (regression analysis or dollar-offset method) shall be used when qualitative assessment is not appropriate. Ineffectiveness shall be measured and recognized in earnings each period.</w:t>
      </w:r>
    </w:p>
    <w:p>
      <w:pPr>
        <w:pStyle w:val="Heading3"/>
        <w:spacing w:after="100" w:before="200"/>
      </w:pPr>
      <w:r>
        <w:rPr>
          <w:rFonts w:ascii="Georgia" w:cs="Georgia" w:eastAsia="Georgia" w:hAnsi="Georgia"/>
          <w:b/>
          <w:bCs/>
          <w:color w:val="444444"/>
          <w:sz w:val="22"/>
          <w:szCs w:val="22"/>
        </w:rPr>
        <w:t xml:space="preserve">5.3.3 Hedge De-designation</w:t>
      </w:r>
    </w:p>
    <w:p>
      <w:pPr>
        <w:spacing w:after="150" w:before="0"/>
        <w:jc w:val="both"/>
      </w:pPr>
      <w:r>
        <w:rPr>
          <w:rFonts w:ascii="Calibri" w:cs="Calibri" w:eastAsia="Calibri" w:hAnsi="Calibri"/>
          <w:color w:val="333333"/>
          <w:sz w:val="22"/>
          <w:szCs w:val="22"/>
        </w:rPr>
        <w:t xml:space="preserve">A hedge shall be de-designated when: the hedging instrument expires, is sold, or is terminated; the hedged item is no longer probable (for cash flow hedges); or the hedge no longer meets effectiveness requirements. Upon de-designation, the accounting treatment depends on the hedge type per ASC 815.</w:t>
      </w:r>
    </w:p>
    <w:p>
      <w:pPr>
        <w:pStyle w:val="Heading2"/>
        <w:spacing w:after="150" w:before="300"/>
      </w:pPr>
      <w:r>
        <w:rPr>
          <w:rFonts w:ascii="Georgia" w:cs="Georgia" w:eastAsia="Georgia" w:hAnsi="Georgia"/>
          <w:b/>
          <w:bCs/>
          <w:color w:val="333333"/>
          <w:sz w:val="26"/>
          <w:szCs w:val="26"/>
        </w:rPr>
        <w:t xml:space="preserve">5.4 Foreign Currency Translation (ASC 830)</w:t>
      </w:r>
    </w:p>
    <w:p>
      <w:pPr>
        <w:spacing w:after="150" w:before="0"/>
        <w:jc w:val="both"/>
      </w:pPr>
      <w:r>
        <w:rPr>
          <w:rFonts w:ascii="Calibri" w:cs="Calibri" w:eastAsia="Calibri" w:hAnsi="Calibri"/>
          <w:color w:val="333333"/>
          <w:sz w:val="22"/>
          <w:szCs w:val="22"/>
        </w:rPr>
        <w:t xml:space="preserve">Foreign subsidiary financial statements shall be translated using: current rate method for subsidiaries whose functional currency is the local currency (most common), and remeasurement method for subsidiaries whose functional currency is USD but whose books are maintained in local currency. The functional currency determination shall be documented for each foreign entity and reviewed when significant changes in the subsidiary's operations occur.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p>
      <w:pPr>
        <w:spacing w:after="150" w:before="0"/>
        <w:jc w:val="both"/>
      </w:pPr>
      <w:r>
        <w:rPr>
          <w:rFonts w:ascii="Calibri" w:cs="Calibri" w:eastAsia="Calibri" w:hAnsi="Calibri"/>
          <w:color w:val="333333"/>
          <w:sz w:val="22"/>
          <w:szCs w:val="22"/>
        </w:rPr>
        <w:t xml:space="preserve">See Section 5.2.1 for hedge authorization matrix. Additional FX-specific authorities: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Functional currency determination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entities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Tax</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Hedge accounting designation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counterparty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FX hedging policy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Net investment hedge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Deviations from the hedging policy (under-hedging or over-hedging relative to policy ranges) require CFO approval with documented rationale. Speculative transactions are never permitted and constitute a policy violation subject to disciplinary action. If hedge accounting cannot be achieved for a designated hedge, the Controller shall evaluate the earnings impact and determine whether to continue the economic hedge without hedge accounting treatment.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mark-to-market of all outstanding hedge positions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FX exposure and hedge coverage report to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hedge effectiveness testing per ASC 815</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counterparty exposure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hedging policy and strategy review</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Hedge coverage ratio (0-6 month exposures)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[50-80%]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FX impact on EBITDA (hedged vs. unhedged)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Reduction of [50%+]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Hedge effectiveness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80-125% (ASC 815 threshold)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Counterparty concentration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[40%] with any single counterparty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Hedging cost as % of hedged notional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[X%] annually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Intercompany Transactions &amp; Transfer Pricing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&amp; Covenant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830, Foreign Currency Matters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815, Derivatives and Hedging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IRC Section 988 (Foreign Currency Transactions)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FX Exposure Report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Currency</w:t>
            </w:r>
          </w:p>
        </w:tc>
        <w:tc>
          <w:tcPr>
            <w:tcW w:type="dxa" w:w="2400"/>
            <w:shd w:fill="0C0C0C" w:val="clear"/>
          </w:tcPr>
          <w:p>
            <w:pPr>
              <w:spacing w:after="60" w:before="60"/>
            </w:pPr>
            <w:r>
              <w:rPr>
                <w:rFonts w:ascii="Calibri" w:cs="Calibri" w:eastAsia="Calibri" w:hAnsi="Calibri"/>
                <w:b/>
                <w:bCs/>
                <w:color w:val="D4AF37"/>
                <w:sz w:val="20"/>
                <w:szCs w:val="20"/>
              </w:rPr>
              <w:t xml:space="preserve">Exposure Type</w:t>
            </w:r>
          </w:p>
        </w:tc>
        <w:tc>
          <w:tcPr>
            <w:tcW w:type="dxa" w:w="4560"/>
            <w:shd w:fill="0C0C0C" w:val="clear"/>
          </w:tcPr>
          <w:p>
            <w:pPr>
              <w:spacing w:after="60" w:before="60"/>
            </w:pPr>
            <w:r>
              <w:rPr>
                <w:rFonts w:ascii="Calibri" w:cs="Calibri" w:eastAsia="Calibri" w:hAnsi="Calibri"/>
                <w:b/>
                <w:bCs/>
                <w:color w:val="D4AF37"/>
                <w:sz w:val="20"/>
                <w:szCs w:val="20"/>
              </w:rPr>
              <w:t xml:space="preserve">Amount (USD eq.)</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EUR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AR / AP</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GBP</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Forecasted Revenue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JPY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Intercompany Loan</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CAD</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Operating Expenses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Full template includes maturity buckets, hedge instrument details, and mark-to-market values.</w:t>
      </w:r>
    </w:p>
    <w:p>
      <w:pPr>
        <w:pStyle w:val="Heading2"/>
        <w:spacing w:after="150" w:before="300"/>
      </w:pPr>
      <w:r>
        <w:rPr>
          <w:rFonts w:ascii="Georgia" w:cs="Georgia" w:eastAsia="Georgia" w:hAnsi="Georgia"/>
          <w:b/>
          <w:bCs/>
          <w:color w:val="333333"/>
          <w:sz w:val="26"/>
          <w:szCs w:val="26"/>
        </w:rPr>
        <w:t xml:space="preserve">Appendix B — Hedge Accounting Documentation Template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Hedge designation date and trade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Hedging instrument description (type, notional, maturity, rate)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Hedged item or forecasted transaction description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Nature of risk being hedged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Effectiveness assessment methodology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Risk management objective and strategy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Ongoing effectiveness test results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Ineffectiveness measurement and recognition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Foreign Currency Management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2026-07-13T07:44:22.803Z</dcterms:created>
  <dcterms:modified xsi:type="dcterms:W3CDTF">2026-07-13T07:44:22.818Z</dcterms:modified>
</cp:coreProperties>
</file>

<file path=docProps/custom.xml><?xml version="1.0" encoding="utf-8"?>
<Properties xmlns="http://schemas.openxmlformats.org/officeDocument/2006/custom-properties" xmlns:vt="http://schemas.openxmlformats.org/officeDocument/2006/docPropsVTypes"/>
</file>