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Debt &amp; Covenant Compliance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Debt and Covenant Compliance Policy establishes the standards, procedures, and controls governing [Company Name]'s management of debt obligations and compliance with financial covenants. The policy ensures timely debt service, proactive covenant monitoring, and effective communication with lenders to maintain access to credit facilities and avoid default.</w:t>
      </w:r>
    </w:p>
    <w:p>
      <w:pPr>
        <w:spacing w:after="150" w:before="0"/>
        <w:jc w:val="both"/>
      </w:pPr>
      <w:r>
        <w:rPr>
          <w:rFonts w:ascii="Calibri" w:cs="Calibri" w:eastAsia="Calibri" w:hAnsi="Calibri"/>
          <w:color w:val="333333"/>
          <w:sz w:val="22"/>
          <w:szCs w:val="22"/>
        </w:rPr>
        <w:t xml:space="preserve">This policy applies to all debt obligations of [Company Name] and its subsidiaries, including revolving credit facilities, term loans, bonds, notes, capital leases (finance leases under ASC 842), and any other arrangement creating a debt obligation.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timely principal and interest payments on all debt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compliance with all financial and non-financial covenants continuously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early warning of potential covenant breaches to enable proactive remediation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effective lender relationships through transparent communication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the debt structure to minimize cost of capital while maintaining flexibility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all reporting and certification requirements under debt agreements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Covenant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quantitative requirement in a debt agreement that [Company Name] must maintain (e.g., leverage ratio, interest coverage, minimum liquidity).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Non-Financial Covenant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qualitative requirement such as maintaining insurance, providing financial statements, or restricting asset sales.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Leverage Ratio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Debt / EBITDA — a measure of indebtedness relative to earnings capacity.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Interest Coverage Ratio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EBITDA / Interest Expense — a measure of ability to service debt from earnings.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Fixed Charge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(EBITDA - CapEx - Taxes) / (Interest + Principal) — a measure of cash flow available for debt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Covenant Headroom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margin between the actual covenant ratio and the required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Event of Default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condition that, if triggered, gives the lender the right to accelerate the debt or exercise other remedies.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Cross-Default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provision where default on one debt agreement triggers default on another.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Compliance Certificate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periodic certification by [Company Name] to lenders demonstrating covenant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Waiver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Lender agreement to excuse a covenant violation, typically with conditions.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Amendment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formal modification to the terms of a debt agreement.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Debt Service</w:t>
      </w:r>
    </w:p>
    <w:p>
      <w:pPr>
        <w:spacing w:after="150" w:before="0"/>
        <w:jc w:val="both"/>
      </w:pPr>
      <w:r>
        <w:rPr>
          <w:rFonts w:ascii="Calibri" w:cs="Calibri" w:eastAsia="Calibri" w:hAnsi="Calibri"/>
          <w:color w:val="333333"/>
          <w:sz w:val="22"/>
          <w:szCs w:val="22"/>
        </w:rPr>
        <w:t xml:space="preserve">All principal, interest, and fee payments shall be made on or before the due date specified in the applicable debt agreement. Treasury shall maintain a comprehensive debt service calendar with all payment dates, amounts, and wire instructions. Payments shall be initiated at least [2] business days before the due date to ensure timely receipt. Late payment of debt service is an event of default under most credit agreements and shall be treated as a critical failure.</w:t>
      </w:r>
    </w:p>
    <w:p>
      <w:pPr>
        <w:pStyle w:val="Heading2"/>
        <w:spacing w:after="150" w:before="300"/>
      </w:pPr>
      <w:r>
        <w:rPr>
          <w:rFonts w:ascii="Georgia" w:cs="Georgia" w:eastAsia="Georgia" w:hAnsi="Georgia"/>
          <w:b/>
          <w:bCs/>
          <w:color w:val="333333"/>
          <w:sz w:val="26"/>
          <w:szCs w:val="26"/>
        </w:rPr>
        <w:t xml:space="preserve">3.2 Covenant Monitoring</w:t>
      </w:r>
    </w:p>
    <w:p>
      <w:pPr>
        <w:spacing w:after="150" w:before="0"/>
        <w:jc w:val="both"/>
      </w:pPr>
      <w:r>
        <w:rPr>
          <w:rFonts w:ascii="Calibri" w:cs="Calibri" w:eastAsia="Calibri" w:hAnsi="Calibri"/>
          <w:color w:val="333333"/>
          <w:sz w:val="22"/>
          <w:szCs w:val="22"/>
        </w:rPr>
        <w:t xml:space="preserve">[Company Name] shall monitor financial covenant compliance on a continuous basis — not only at the certification dates. The CFO shall receive a monthly covenant compliance report showing: actual covenant ratios, required thresholds, headroom analysis, and projected covenant ratios for the next [4] quarters based on the current forecast. This forward-looking analysis provides early warning of potential breaches.</w:t>
      </w:r>
    </w:p>
    <w:p>
      <w:pPr>
        <w:pStyle w:val="Heading2"/>
        <w:spacing w:after="150" w:before="300"/>
      </w:pPr>
      <w:r>
        <w:rPr>
          <w:rFonts w:ascii="Georgia" w:cs="Georgia" w:eastAsia="Georgia" w:hAnsi="Georgia"/>
          <w:b/>
          <w:bCs/>
          <w:color w:val="333333"/>
          <w:sz w:val="26"/>
          <w:szCs w:val="26"/>
        </w:rPr>
        <w:t xml:space="preserve">3.3 Early Warning Protocol</w:t>
      </w:r>
    </w:p>
    <w:p>
      <w:pPr>
        <w:spacing w:after="150" w:before="0"/>
        <w:jc w:val="both"/>
      </w:pPr>
      <w:r>
        <w:rPr>
          <w:rFonts w:ascii="Calibri" w:cs="Calibri" w:eastAsia="Calibri" w:hAnsi="Calibri"/>
          <w:color w:val="333333"/>
          <w:sz w:val="22"/>
          <w:szCs w:val="22"/>
        </w:rPr>
        <w:t xml:space="preserve">When projected covenant headroom falls below [X%] of the threshold, the following early warning protocol shall be activated:</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Treasury notifies the CFO immediately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FP&amp;A prepares scenario analysis showing actions needed to avoid breach</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evaluates remediation options: operational improvements, EBITDA add-backs, covenant definition optimization, or lender communication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If breach appears probable, the CFO engages Legal and begins lender communication</w:t>
      </w:r>
    </w:p>
    <w:p>
      <w:pPr>
        <w:pStyle w:val="Heading2"/>
        <w:spacing w:after="150" w:before="300"/>
      </w:pPr>
      <w:r>
        <w:rPr>
          <w:rFonts w:ascii="Georgia" w:cs="Georgia" w:eastAsia="Georgia" w:hAnsi="Georgia"/>
          <w:b/>
          <w:bCs/>
          <w:color w:val="333333"/>
          <w:sz w:val="26"/>
          <w:szCs w:val="26"/>
        </w:rPr>
        <w:t xml:space="preserve">3.4 Lender Communication</w:t>
      </w:r>
    </w:p>
    <w:p>
      <w:pPr>
        <w:spacing w:after="150" w:before="0"/>
        <w:jc w:val="both"/>
      </w:pPr>
      <w:r>
        <w:rPr>
          <w:rFonts w:ascii="Calibri" w:cs="Calibri" w:eastAsia="Calibri" w:hAnsi="Calibri"/>
          <w:color w:val="333333"/>
          <w:sz w:val="22"/>
          <w:szCs w:val="22"/>
        </w:rPr>
        <w:t xml:space="preserve">[Company Name] shall maintain a policy of proactive, transparent communication with lenders. The CFO or Treasurer shall: provide financial reports per the credit agreement schedule, notify lenders of material events per the agreement's notice provisions, communicate potential covenant issues before they become actual defaults, and maintain regular relationship touchpoints (at least [quarterly] for bank group meetings).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debt management strategy. Certifies covenant compliance. Leads lender negotiations. Approves new borrowings.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day-to-day debt administration. Maintains the debt service calendar. Prepares compliance certificates. Manages revolver drawings.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covenant calculations for accuracy. Ensures proper debt accounting per ASC 470. Classifies debt as current/non-current.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forward-looking covenant projections. Models scenarios for covenant impact. Supports covenant headroom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credit agreement terms and conditions. Advises on covenant interpretation. Manages waiver and amendment negotiations.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Board / Audit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new debt facilities. Reviews covenant compliance status quarterly. Approves material amendments.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Debt Administration</w:t>
      </w:r>
    </w:p>
    <w:p>
      <w:pPr>
        <w:pStyle w:val="Heading3"/>
        <w:spacing w:after="100" w:before="200"/>
      </w:pPr>
      <w:r>
        <w:rPr>
          <w:rFonts w:ascii="Georgia" w:cs="Georgia" w:eastAsia="Georgia" w:hAnsi="Georgia"/>
          <w:b/>
          <w:bCs/>
          <w:color w:val="444444"/>
          <w:sz w:val="22"/>
          <w:szCs w:val="22"/>
        </w:rPr>
        <w:t xml:space="preserve">5.1.1 Debt Register</w:t>
      </w:r>
    </w:p>
    <w:p>
      <w:pPr>
        <w:spacing w:after="150" w:before="0"/>
        <w:jc w:val="both"/>
      </w:pPr>
      <w:r>
        <w:rPr>
          <w:rFonts w:ascii="Calibri" w:cs="Calibri" w:eastAsia="Calibri" w:hAnsi="Calibri"/>
          <w:color w:val="333333"/>
          <w:sz w:val="22"/>
          <w:szCs w:val="22"/>
        </w:rPr>
        <w:t xml:space="preserve">Treasury shall maintain a comprehensive debt register documenting: lender name, facility type, original principal, outstanding balance, interest rate (fixed/variable), maturity date, amortization schedule, covenant requirements, reporting requirements, prepayment provisions, and cross-default provisions.</w:t>
      </w:r>
    </w:p>
    <w:p>
      <w:pPr>
        <w:pStyle w:val="Heading3"/>
        <w:spacing w:after="100" w:before="200"/>
      </w:pPr>
      <w:r>
        <w:rPr>
          <w:rFonts w:ascii="Georgia" w:cs="Georgia" w:eastAsia="Georgia" w:hAnsi="Georgia"/>
          <w:b/>
          <w:bCs/>
          <w:color w:val="444444"/>
          <w:sz w:val="22"/>
          <w:szCs w:val="22"/>
        </w:rPr>
        <w:t xml:space="preserve">5.1.2 Interest Rate Management</w:t>
      </w:r>
    </w:p>
    <w:p>
      <w:pPr>
        <w:spacing w:after="150" w:before="0"/>
        <w:jc w:val="both"/>
      </w:pPr>
      <w:r>
        <w:rPr>
          <w:rFonts w:ascii="Calibri" w:cs="Calibri" w:eastAsia="Calibri" w:hAnsi="Calibri"/>
          <w:color w:val="333333"/>
          <w:sz w:val="22"/>
          <w:szCs w:val="22"/>
        </w:rPr>
        <w:t xml:space="preserve">For variable-rate debt, Treasury shall monitor interest rate exposure and implement hedging strategies per the Foreign Currency Management Policy (which covers interest rate risk as well). Interest rate swaps, caps, or collars shall be evaluated when variable-rate exposure exceeds [X%] of total debt. Hedge accounting treatment under ASC 815 shall be maintained where applicable.</w:t>
      </w:r>
    </w:p>
    <w:p>
      <w:pPr>
        <w:pStyle w:val="Heading3"/>
        <w:spacing w:after="100" w:before="200"/>
      </w:pPr>
      <w:r>
        <w:rPr>
          <w:rFonts w:ascii="Georgia" w:cs="Georgia" w:eastAsia="Georgia" w:hAnsi="Georgia"/>
          <w:b/>
          <w:bCs/>
          <w:color w:val="444444"/>
          <w:sz w:val="22"/>
          <w:szCs w:val="22"/>
        </w:rPr>
        <w:t xml:space="preserve">5.1.3 Revolver Management</w:t>
      </w:r>
    </w:p>
    <w:p>
      <w:pPr>
        <w:spacing w:after="150" w:before="0"/>
        <w:jc w:val="both"/>
      </w:pPr>
      <w:r>
        <w:rPr>
          <w:rFonts w:ascii="Calibri" w:cs="Calibri" w:eastAsia="Calibri" w:hAnsi="Calibri"/>
          <w:color w:val="333333"/>
          <w:sz w:val="22"/>
          <w:szCs w:val="22"/>
        </w:rPr>
        <w:t xml:space="preserve">Revolving credit facility drawings and repayments shall be managed to optimize interest cost while maintaining adequate liquidity. The target revolver utilization shall not exceed [X%] to maintain borrowing capacity for unforeseen needs. All revolver drawings require Treasurer approval for amounts within the current borrowing base and CFO approval for drawings that reduce available capacity below [X%].</w:t>
      </w:r>
    </w:p>
    <w:p>
      <w:pPr>
        <w:pStyle w:val="Heading2"/>
        <w:spacing w:after="150" w:before="300"/>
      </w:pPr>
      <w:r>
        <w:rPr>
          <w:rFonts w:ascii="Georgia" w:cs="Georgia" w:eastAsia="Georgia" w:hAnsi="Georgia"/>
          <w:b/>
          <w:bCs/>
          <w:color w:val="333333"/>
          <w:sz w:val="26"/>
          <w:szCs w:val="26"/>
        </w:rPr>
        <w:t xml:space="preserve">5.2 Covenant Compliance Process</w:t>
      </w:r>
    </w:p>
    <w:p>
      <w:pPr>
        <w:pStyle w:val="Heading3"/>
        <w:spacing w:after="100" w:before="200"/>
      </w:pPr>
      <w:r>
        <w:rPr>
          <w:rFonts w:ascii="Georgia" w:cs="Georgia" w:eastAsia="Georgia" w:hAnsi="Georgia"/>
          <w:b/>
          <w:bCs/>
          <w:color w:val="444444"/>
          <w:sz w:val="22"/>
          <w:szCs w:val="22"/>
        </w:rPr>
        <w:t xml:space="preserve">5.2.1 Monthly Monitoring</w:t>
      </w:r>
    </w:p>
    <w:p>
      <w:pPr>
        <w:spacing w:after="150" w:before="0"/>
        <w:jc w:val="both"/>
      </w:pPr>
      <w:r>
        <w:rPr>
          <w:rFonts w:ascii="Calibri" w:cs="Calibri" w:eastAsia="Calibri" w:hAnsi="Calibri"/>
          <w:color w:val="333333"/>
          <w:sz w:val="22"/>
          <w:szCs w:val="22"/>
        </w:rPr>
        <w:t xml:space="preserve">Treasury shall calculate all financial covenants monthly using actual results, even if covenant certification is only required quarterly or 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Leverage ratio calculated using trailing 12-month EBITDA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Interest coverage ratio calculated using trailing 12-month EBITDA and interest expense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charge coverage calculated per credit agreement definition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Minimum liquidity calculated per credit agreement definition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calculations prepared per the credit agreement definitions (which may differ from GAAP)</w:t>
      </w:r>
    </w:p>
    <w:p>
      <w:pPr>
        <w:pStyle w:val="Heading3"/>
        <w:spacing w:after="100" w:before="200"/>
      </w:pPr>
      <w:r>
        <w:rPr>
          <w:rFonts w:ascii="Georgia" w:cs="Georgia" w:eastAsia="Georgia" w:hAnsi="Georgia"/>
          <w:b/>
          <w:bCs/>
          <w:color w:val="444444"/>
          <w:sz w:val="22"/>
          <w:szCs w:val="22"/>
        </w:rPr>
        <w:t xml:space="preserve">5.2.2 Compliance Certificate</w:t>
      </w:r>
    </w:p>
    <w:p>
      <w:pPr>
        <w:spacing w:after="150" w:before="0"/>
        <w:jc w:val="both"/>
      </w:pPr>
      <w:r>
        <w:rPr>
          <w:rFonts w:ascii="Calibri" w:cs="Calibri" w:eastAsia="Calibri" w:hAnsi="Calibri"/>
          <w:color w:val="333333"/>
          <w:sz w:val="22"/>
          <w:szCs w:val="22"/>
        </w:rPr>
        <w:t xml:space="preserve">The compliance certificate shall be prepared by Treasury, reviewed by the Controller for calculation accuracy, and certified by the CFO. The certificate shall be delivered to the agent bank within the timeframe specified in the credit agreement (typically [45-60] days after quarter-end). Late delivery of the compliance certificate may itself constitute a default.</w:t>
      </w:r>
    </w:p>
    <w:p>
      <w:pPr>
        <w:pStyle w:val="Heading3"/>
        <w:spacing w:after="100" w:before="200"/>
      </w:pPr>
      <w:r>
        <w:rPr>
          <w:rFonts w:ascii="Georgia" w:cs="Georgia" w:eastAsia="Georgia" w:hAnsi="Georgia"/>
          <w:b/>
          <w:bCs/>
          <w:color w:val="444444"/>
          <w:sz w:val="22"/>
          <w:szCs w:val="22"/>
        </w:rPr>
        <w:t xml:space="preserve">5.2.3 EBITDA Add-Backs and Adjustments</w:t>
      </w:r>
    </w:p>
    <w:p>
      <w:pPr>
        <w:spacing w:after="150" w:before="0"/>
        <w:jc w:val="both"/>
      </w:pPr>
      <w:r>
        <w:rPr>
          <w:rFonts w:ascii="Calibri" w:cs="Calibri" w:eastAsia="Calibri" w:hAnsi="Calibri"/>
          <w:color w:val="333333"/>
          <w:sz w:val="22"/>
          <w:szCs w:val="22"/>
        </w:rPr>
        <w:t xml:space="preserve">Credit agreement EBITDA definitions typically include permitted add-backs (restructuring charges, non-cash stock compensation, acquisition costs, one-time items). All add-backs claimed in the covenant calculation shall be: specifically permitted by the credit agreement definition, supported by documentation and calculations, reviewed by the Controller for accuracy, and disclosed to lenders in the compliance certificate. Aggressive or unsupported add-backs damage lender trust and invite scrutiny.</w:t>
      </w:r>
    </w:p>
    <w:p>
      <w:pPr>
        <w:pStyle w:val="Heading2"/>
        <w:spacing w:after="150" w:before="300"/>
      </w:pPr>
      <w:r>
        <w:rPr>
          <w:rFonts w:ascii="Georgia" w:cs="Georgia" w:eastAsia="Georgia" w:hAnsi="Georgia"/>
          <w:b/>
          <w:bCs/>
          <w:color w:val="333333"/>
          <w:sz w:val="26"/>
          <w:szCs w:val="26"/>
        </w:rPr>
        <w:t xml:space="preserve">5.3 Default Management</w:t>
      </w:r>
    </w:p>
    <w:p>
      <w:pPr>
        <w:pStyle w:val="Heading3"/>
        <w:spacing w:after="100" w:before="200"/>
      </w:pPr>
      <w:r>
        <w:rPr>
          <w:rFonts w:ascii="Georgia" w:cs="Georgia" w:eastAsia="Georgia" w:hAnsi="Georgia"/>
          <w:b/>
          <w:bCs/>
          <w:color w:val="444444"/>
          <w:sz w:val="22"/>
          <w:szCs w:val="22"/>
        </w:rPr>
        <w:t xml:space="preserve">5.3.1 Technical Default Response</w:t>
      </w:r>
    </w:p>
    <w:p>
      <w:pPr>
        <w:spacing w:after="150" w:before="0"/>
        <w:jc w:val="both"/>
      </w:pPr>
      <w:r>
        <w:rPr>
          <w:rFonts w:ascii="Calibri" w:cs="Calibri" w:eastAsia="Calibri" w:hAnsi="Calibri"/>
          <w:color w:val="333333"/>
          <w:sz w:val="22"/>
          <w:szCs w:val="22"/>
        </w:rPr>
        <w:t xml:space="preserve">If a covenant breach occurs or is imminent, the CFO shall: notify the Board within [24] hours, engage Legal to review remedy provisions and cure periods, prepare a remediation plan, and contact the agent bank proactively (before the compliance certificate deadline if possible). Proactive disclosure of a pending breach produces significantly better outcomes than lender discovery.</w:t>
      </w:r>
    </w:p>
    <w:p>
      <w:pPr>
        <w:pStyle w:val="Heading3"/>
        <w:spacing w:after="100" w:before="200"/>
      </w:pPr>
      <w:r>
        <w:rPr>
          <w:rFonts w:ascii="Georgia" w:cs="Georgia" w:eastAsia="Georgia" w:hAnsi="Georgia"/>
          <w:b/>
          <w:bCs/>
          <w:color w:val="444444"/>
          <w:sz w:val="22"/>
          <w:szCs w:val="22"/>
        </w:rPr>
        <w:t xml:space="preserve">5.3.2 Waiver and Amendment Process</w:t>
      </w:r>
    </w:p>
    <w:p>
      <w:pPr>
        <w:spacing w:after="150" w:before="0"/>
        <w:jc w:val="both"/>
      </w:pPr>
      <w:r>
        <w:rPr>
          <w:rFonts w:ascii="Calibri" w:cs="Calibri" w:eastAsia="Calibri" w:hAnsi="Calibri"/>
          <w:color w:val="333333"/>
          <w:sz w:val="22"/>
          <w:szCs w:val="22"/>
        </w:rPr>
        <w:t xml:space="preserve">If a covenant waiver or amendment is needed, the following process applies: Legal prepares the waiver/amendment request, CFO negotiates terms with the agent bank, all fees and conditions are evaluated and approved by the CFO, Board approval is obtained if required by corporate governance standards, and the executed waiver/amendment is filed with the Controller for disclosure evaluation.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borrowing (within existing facilities)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borrowing base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borrowing (new facility or incremental)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Debt repayment (scheduled)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amortization</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Debt prepayment (voluntary)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Interest rate hedge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Covenant waiver request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Credit agreement amendment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Compliance certificate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Lender presentation / meeting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(or delegated to Treasurer)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covenant compliance requirements. Covenant breaches, whether actual or anticipated, shall be escalated immediately: Treasury → CFO → Board Chair. The cross-default implications of any breach shall be assessed across all debt agreements before any lender communication. Classification of debt as current vs. non-current per ASC 470-10 shall be evaluated whenever a covenant violation occurs or is expected.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covenant ratio calculation and headroom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debt register reconciliation to GL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compliance certificate preparation and delivery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forward-looking covenant projection (4 quarters ahead)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credit agreement review for operational compliance with non-financial covenants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debt maturity analysis and refinancing planning</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Debt service payments made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Compliance certificates delivered 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Covenant headroom (minimum across all covenants)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Covenant violations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Weighted average cost of debt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Debt maturity profile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 more than [X%] maturing in any 12-month period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470, Debt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815, Derivatives and Hedging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470-10-45, Debt Classification (current vs. non-current upon covenant violation)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Covenant Compliance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Covenant</w:t>
            </w:r>
          </w:p>
        </w:tc>
        <w:tc>
          <w:tcPr>
            <w:tcW w:type="dxa" w:w="2400"/>
            <w:shd w:fill="0C0C0C" w:val="clear"/>
          </w:tcPr>
          <w:p>
            <w:pPr>
              <w:spacing w:after="60" w:before="60"/>
            </w:pPr>
            <w:r>
              <w:rPr>
                <w:rFonts w:ascii="Calibri" w:cs="Calibri" w:eastAsia="Calibri" w:hAnsi="Calibri"/>
                <w:b/>
                <w:bCs/>
                <w:color w:val="D4AF37"/>
                <w:sz w:val="20"/>
                <w:szCs w:val="20"/>
              </w:rPr>
              <w:t xml:space="preserve">Required</w:t>
            </w:r>
          </w:p>
        </w:tc>
        <w:tc>
          <w:tcPr>
            <w:tcW w:type="dxa" w:w="4560"/>
            <w:shd w:fill="0C0C0C" w:val="clear"/>
          </w:tcPr>
          <w:p>
            <w:pPr>
              <w:spacing w:after="60" w:before="60"/>
            </w:pPr>
            <w:r>
              <w:rPr>
                <w:rFonts w:ascii="Calibri" w:cs="Calibri" w:eastAsia="Calibri" w:hAnsi="Calibri"/>
                <w:b/>
                <w:bCs/>
                <w:color w:val="D4AF37"/>
                <w:sz w:val="20"/>
                <w:szCs w:val="20"/>
              </w:rPr>
              <w:t xml:space="preserve">Actual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Leverage Ratio (Debt/EBITDA)</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[X.Xx]</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Interest Coverage (EBITDA/Interest)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[X.Xx]</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Fixed Charge Coverage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[X.Xx]</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Minimum Liquidity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$[X]M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CapEx Limit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$[X]M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Actual values and headroom are calculated monthly and projected quarterly.</w:t>
      </w:r>
    </w:p>
    <w:p>
      <w:pPr>
        <w:pStyle w:val="Heading2"/>
        <w:spacing w:after="150" w:before="300"/>
      </w:pPr>
      <w:r>
        <w:rPr>
          <w:rFonts w:ascii="Georgia" w:cs="Georgia" w:eastAsia="Georgia" w:hAnsi="Georgia"/>
          <w:b/>
          <w:bCs/>
          <w:color w:val="333333"/>
          <w:sz w:val="26"/>
          <w:szCs w:val="26"/>
        </w:rPr>
        <w:t xml:space="preserve">Appendix B — Compliance Certificate Template</w:t>
      </w:r>
    </w:p>
    <w:p>
      <w:pPr>
        <w:spacing w:after="150" w:before="0"/>
        <w:jc w:val="both"/>
      </w:pPr>
      <w:r>
        <w:rPr>
          <w:rFonts w:ascii="Calibri" w:cs="Calibri" w:eastAsia="Calibri" w:hAnsi="Calibri"/>
          <w:color w:val="333333"/>
          <w:sz w:val="22"/>
          <w:szCs w:val="22"/>
        </w:rPr>
        <w:t xml:space="preserve">The compliance certificate template includes: certification date, reporting period, financial statements delivery confirmation, covenant calculations with supporting detail, representations and warranties confirmation, and officer certification signature.</w:t>
      </w:r>
    </w:p>
    <w:p>
      <w:pPr>
        <w:pStyle w:val="Heading2"/>
        <w:spacing w:after="150" w:before="300"/>
      </w:pPr>
      <w:r>
        <w:rPr>
          <w:rFonts w:ascii="Georgia" w:cs="Georgia" w:eastAsia="Georgia" w:hAnsi="Georgia"/>
          <w:b/>
          <w:bCs/>
          <w:color w:val="333333"/>
          <w:sz w:val="26"/>
          <w:szCs w:val="26"/>
        </w:rPr>
        <w:t xml:space="preserve">Appendix C — Debt Maturity Profile</w:t>
      </w:r>
    </w:p>
    <w:p>
      <w:pPr>
        <w:spacing w:after="150" w:before="0"/>
        <w:jc w:val="both"/>
      </w:pPr>
      <w:r>
        <w:rPr>
          <w:rFonts w:ascii="Calibri" w:cs="Calibri" w:eastAsia="Calibri" w:hAnsi="Calibri"/>
          <w:color w:val="333333"/>
          <w:sz w:val="22"/>
          <w:szCs w:val="22"/>
        </w:rPr>
        <w:t xml:space="preserve">A schedule showing all debt maturities by year, including: facility name, outstanding balance, scheduled amortization, maturity date, and refinancing plan for upcoming maturities.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Debt Portfolio Strategy</w:t>
      </w:r>
    </w:p>
    <w:p>
      <w:pPr>
        <w:pStyle w:val="Heading2"/>
        <w:spacing w:after="150" w:before="300"/>
      </w:pPr>
      <w:r>
        <w:rPr>
          <w:rFonts w:ascii="Georgia" w:cs="Georgia" w:eastAsia="Georgia" w:hAnsi="Georgia"/>
          <w:b/>
          <w:bCs/>
          <w:color w:val="333333"/>
          <w:sz w:val="26"/>
          <w:szCs w:val="26"/>
        </w:rPr>
        <w:t xml:space="preserve">11.1 Capital Structure Optimization</w:t>
      </w:r>
    </w:p>
    <w:p>
      <w:pPr>
        <w:spacing w:after="150" w:before="0"/>
        <w:jc w:val="both"/>
      </w:pPr>
      <w:r>
        <w:rPr>
          <w:rFonts w:ascii="Calibri" w:cs="Calibri" w:eastAsia="Calibri" w:hAnsi="Calibri"/>
          <w:color w:val="333333"/>
          <w:sz w:val="22"/>
          <w:szCs w:val="22"/>
        </w:rPr>
        <w:t xml:space="preserve">The CFO shall maintain a target capital structure that balances: the tax benefit of debt (interest deductibility), the cost of financial distress (covenant constraints, refinancing risk), rating agency expectations (if rated), investor expectations (leverage appropriate for the industry), and operational flexibility (adequate headroom for business variability). The target leverage ratio shall be reviewed annually and adjusted for changes in business risk, interest rates, and strategic plans.</w:t>
      </w:r>
    </w:p>
    <w:p>
      <w:pPr>
        <w:pStyle w:val="Heading2"/>
        <w:spacing w:after="150" w:before="300"/>
      </w:pPr>
      <w:r>
        <w:rPr>
          <w:rFonts w:ascii="Georgia" w:cs="Georgia" w:eastAsia="Georgia" w:hAnsi="Georgia"/>
          <w:b/>
          <w:bCs/>
          <w:color w:val="333333"/>
          <w:sz w:val="26"/>
          <w:szCs w:val="26"/>
        </w:rPr>
        <w:t xml:space="preserve">11.2 Maturity Profile Management</w:t>
      </w:r>
    </w:p>
    <w:p>
      <w:pPr>
        <w:spacing w:after="150" w:before="0"/>
        <w:jc w:val="both"/>
      </w:pPr>
      <w:r>
        <w:rPr>
          <w:rFonts w:ascii="Calibri" w:cs="Calibri" w:eastAsia="Calibri" w:hAnsi="Calibri"/>
          <w:color w:val="333333"/>
          <w:sz w:val="22"/>
          <w:szCs w:val="22"/>
        </w:rPr>
        <w:t xml:space="preserve">[Company Name] shall maintain a laddered debt maturity profile to avoid concentration of maturities in any single year. No more than [X%] of total debt shall mature in any 12-month period. Refinancing planning shall begin at least [12-18] months before any material maturity. The Treasurer shall maintain a maturity schedule showing all debt maturities by year for the next [10] years.</w:t>
      </w:r>
    </w:p>
    <w:p>
      <w:pPr>
        <w:pStyle w:val="Heading2"/>
        <w:spacing w:after="150" w:before="300"/>
      </w:pPr>
      <w:r>
        <w:rPr>
          <w:rFonts w:ascii="Georgia" w:cs="Georgia" w:eastAsia="Georgia" w:hAnsi="Georgia"/>
          <w:b/>
          <w:bCs/>
          <w:color w:val="333333"/>
          <w:sz w:val="26"/>
          <w:szCs w:val="26"/>
        </w:rPr>
        <w:t xml:space="preserve">11.3 Fixed vs. Variable Rate Strategy</w:t>
      </w:r>
    </w:p>
    <w:p>
      <w:pPr>
        <w:spacing w:after="150" w:before="0"/>
        <w:jc w:val="both"/>
      </w:pPr>
      <w:r>
        <w:rPr>
          <w:rFonts w:ascii="Calibri" w:cs="Calibri" w:eastAsia="Calibri" w:hAnsi="Calibri"/>
          <w:color w:val="333333"/>
          <w:sz w:val="22"/>
          <w:szCs w:val="22"/>
        </w:rPr>
        <w:t xml:space="preserve">The target mix of fixed vs. variable rate debt shall be: [X%] fixed / [X%] variable, managed through a combination of fixed-rate issuance and interest rate swaps. The fixed/variable mix considers: current interest rate environment and forward curve, the company's cash flow sensitivity to rate changes, the cost differential between fixed and variable rates, and hedge accounting treatment under ASC 815.</w:t>
      </w:r>
    </w:p>
    <w:p>
      <w:pPr>
        <w:pStyle w:val="Heading2"/>
        <w:spacing w:after="150" w:before="300"/>
      </w:pPr>
      <w:r>
        <w:rPr>
          <w:rFonts w:ascii="Georgia" w:cs="Georgia" w:eastAsia="Georgia" w:hAnsi="Georgia"/>
          <w:b/>
          <w:bCs/>
          <w:color w:val="333333"/>
          <w:sz w:val="26"/>
          <w:szCs w:val="26"/>
        </w:rPr>
        <w:t xml:space="preserve">11.4 Credit Rating Management</w:t>
      </w:r>
    </w:p>
    <w:p>
      <w:pPr>
        <w:spacing w:after="150" w:before="0"/>
        <w:jc w:val="both"/>
      </w:pPr>
      <w:r>
        <w:rPr>
          <w:rFonts w:ascii="Calibri" w:cs="Calibri" w:eastAsia="Calibri" w:hAnsi="Calibri"/>
          <w:color w:val="333333"/>
          <w:sz w:val="22"/>
          <w:szCs w:val="22"/>
        </w:rPr>
        <w:t xml:space="preserve">If [Company Name] maintains an investment-grade or other credit rating, the CFO shall: maintain regular communication with rating agencies, provide timely financial information and business updates, manage financial metrics within the range expected for the current rating, evaluate the rating impact of significant transactions (M&amp;A, leverage changes), and present to rating agencies annually or as needed.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Covenant Definition Analysis</w:t>
      </w:r>
    </w:p>
    <w:p>
      <w:pPr>
        <w:pStyle w:val="Heading2"/>
        <w:spacing w:after="150" w:before="300"/>
      </w:pPr>
      <w:r>
        <w:rPr>
          <w:rFonts w:ascii="Georgia" w:cs="Georgia" w:eastAsia="Georgia" w:hAnsi="Georgia"/>
          <w:b/>
          <w:bCs/>
          <w:color w:val="333333"/>
          <w:sz w:val="26"/>
          <w:szCs w:val="26"/>
        </w:rPr>
        <w:t xml:space="preserve">12.1 EBITDA Definition Optimization</w:t>
      </w:r>
    </w:p>
    <w:p>
      <w:pPr>
        <w:spacing w:after="150" w:before="0"/>
        <w:jc w:val="both"/>
      </w:pPr>
      <w:r>
        <w:rPr>
          <w:rFonts w:ascii="Calibri" w:cs="Calibri" w:eastAsia="Calibri" w:hAnsi="Calibri"/>
          <w:color w:val="333333"/>
          <w:sz w:val="22"/>
          <w:szCs w:val="22"/>
        </w:rPr>
        <w:t xml:space="preserve">The credit agreement EBITDA definition is the most critical component of financial covenants. The CFO and Legal shall negotiate EBITDA definitions that include appropriate add-backs for: non-cash charges (stock compensation, depreciation, amortization), restructuring and severance costs (with reasonable caps), transaction costs (M&amp;A, financing), one-time or extraordinary items (with documentation requirements), and pro forma adjustments for acquisitions and divestitures (run-rate EBITDA credit). All add-backs shall be tracked and documented in the compliance certificate.</w:t>
      </w:r>
    </w:p>
    <w:p>
      <w:pPr>
        <w:pStyle w:val="Heading2"/>
        <w:spacing w:after="150" w:before="300"/>
      </w:pPr>
      <w:r>
        <w:rPr>
          <w:rFonts w:ascii="Georgia" w:cs="Georgia" w:eastAsia="Georgia" w:hAnsi="Georgia"/>
          <w:b/>
          <w:bCs/>
          <w:color w:val="333333"/>
          <w:sz w:val="26"/>
          <w:szCs w:val="26"/>
        </w:rPr>
        <w:t xml:space="preserve">12.2 Covenant Holiday and Step-Down Provisions</w:t>
      </w:r>
    </w:p>
    <w:p>
      <w:pPr>
        <w:spacing w:after="150" w:before="0"/>
        <w:jc w:val="both"/>
      </w:pPr>
      <w:r>
        <w:rPr>
          <w:rFonts w:ascii="Calibri" w:cs="Calibri" w:eastAsia="Calibri" w:hAnsi="Calibri"/>
          <w:color w:val="333333"/>
          <w:sz w:val="22"/>
          <w:szCs w:val="22"/>
        </w:rPr>
        <w:t xml:space="preserve">For new credit facilities or amendments following significant events (acquisitions, recapitalizations), the CFO shall negotiate: covenant holidays (periods where covenants are suspended or relaxed), step-down provisions (covenants that tighten over time as the company deleverages), and equity cure rights (the ability to inject equity to cure a covenant breach). These provisions provide flexibility during transition periods.</w:t>
      </w:r>
    </w:p>
    <w:p>
      <w:pPr>
        <w:pStyle w:val="Heading2"/>
        <w:spacing w:after="150" w:before="300"/>
      </w:pPr>
      <w:r>
        <w:rPr>
          <w:rFonts w:ascii="Georgia" w:cs="Georgia" w:eastAsia="Georgia" w:hAnsi="Georgia"/>
          <w:b/>
          <w:bCs/>
          <w:color w:val="333333"/>
          <w:sz w:val="26"/>
          <w:szCs w:val="26"/>
        </w:rPr>
        <w:t xml:space="preserve">12.3 Non-Financial Covenant Compliance</w:t>
      </w:r>
    </w:p>
    <w:p>
      <w:pPr>
        <w:spacing w:after="150" w:before="0"/>
        <w:jc w:val="both"/>
      </w:pPr>
      <w:r>
        <w:rPr>
          <w:rFonts w:ascii="Calibri" w:cs="Calibri" w:eastAsia="Calibri" w:hAnsi="Calibri"/>
          <w:color w:val="333333"/>
          <w:sz w:val="22"/>
          <w:szCs w:val="22"/>
        </w:rPr>
        <w:t xml:space="preserve">Non-financial covenants require the same rigor of monitoring as financial covenants. Common non-financial covenants include: delivery of financial statements and compliance certificates by specified dates, maintenance of insurance at required levels, restrictions on asset sales, investments, and restricted payments, change of control provisions, and anti-cash-hoarding provisions (mandatory prepayment from excess cash flow). The Treasurer shall maintain a checklist of all non-financial covenants and verify compliance quarterly.</w:t>
      </w:r>
    </w:p>
    <w:p>
      <w:pPr>
        <w:pStyle w:val="Heading2"/>
        <w:spacing w:after="150" w:before="300"/>
      </w:pPr>
      <w:r>
        <w:rPr>
          <w:rFonts w:ascii="Georgia" w:cs="Georgia" w:eastAsia="Georgia" w:hAnsi="Georgia"/>
          <w:b/>
          <w:bCs/>
          <w:color w:val="333333"/>
          <w:sz w:val="26"/>
          <w:szCs w:val="26"/>
        </w:rPr>
        <w:t xml:space="preserve">12.4 Cross-Default Analysis</w:t>
      </w:r>
    </w:p>
    <w:p>
      <w:pPr>
        <w:spacing w:after="150" w:before="0"/>
        <w:jc w:val="both"/>
      </w:pPr>
      <w:r>
        <w:rPr>
          <w:rFonts w:ascii="Calibri" w:cs="Calibri" w:eastAsia="Calibri" w:hAnsi="Calibri"/>
          <w:color w:val="333333"/>
          <w:sz w:val="22"/>
          <w:szCs w:val="22"/>
        </w:rPr>
        <w:t xml:space="preserve">[Company Name] shall maintain a cross-default matrix showing how a default under one agreement could trigger defaults across all debt agreements. The matrix shall identify: the cross-default threshold in each agreement, whether the cross-default is triggered by default (broader) or payment default only (narrower), cure periods available under each agreement, and the sequence of potential cascading defaults. This analysis shall be reviewed by Legal annually and updated whenever new debt is incurred.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Debt &amp; Covenant Compliance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2026-07-13T07:38:24.828Z</dcterms:created>
  <dcterms:modified xsi:type="dcterms:W3CDTF">2026-07-13T07:38:24.828Z</dcterms:modified>
</cp:coreProperties>
</file>

<file path=docProps/custom.xml><?xml version="1.0" encoding="utf-8"?>
<Properties xmlns="http://schemas.openxmlformats.org/officeDocument/2006/custom-properties" xmlns:vt="http://schemas.openxmlformats.org/officeDocument/2006/docPropsVTypes"/>
</file>