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Insurance &amp; Risk Management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Insurance and Risk Management Policy establishes the standards, procedures, and controls governing how [Company Name] identifies, evaluates, and mitigates insurable risks through commercial insurance programs and risk financing strategies. The policy ensures adequate protection of company assets, liabilities, and earnings while optimizing the total cost of risk.</w:t>
      </w:r>
    </w:p>
    <w:p>
      <w:pPr>
        <w:spacing w:after="150" w:before="0"/>
        <w:jc w:val="both"/>
      </w:pPr>
      <w:r>
        <w:rPr>
          <w:rFonts w:ascii="Calibri" w:cs="Calibri" w:eastAsia="Calibri" w:hAnsi="Calibri"/>
          <w:color w:val="333333"/>
          <w:sz w:val="22"/>
          <w:szCs w:val="22"/>
        </w:rPr>
        <w:t xml:space="preserve">This policy applies to all insurance programs, self-insurance arrangements, captive insurance activities, and risk transfer mechanisms maintained by [Company Name] and its subsidiaries.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insurance coverage adequate to protect against catastrophic and material losses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Optimize the cost of risk through appropriate retention levels and risk transfer strategies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compliance with contractual, regulatory, and statutory insurance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a structured claims management process to maximize recovery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Coordinate insurance with the enterprise risk management framework</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timely and accurate insurance data for financial reporting and disclosure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Total Cost of Risk</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sum of insurance premiums, retained losses, loss adjustment expenses, and risk management administrative costs.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Self-Insured Retention (SIR)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amount of loss [Company Name] retains before insurance coverage begins.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Deductible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amount of each covered loss that [Company Name] must pay before the insurer pays.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Policy Limit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maximum amount the insurer will pay under a policy.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Aggregate Limit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maximum total amount the insurer will pay for all claims during the policy period.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Certificate of Insurance (COI)</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document issued by an insurer confirming that coverage exists, often required by customers and landlords.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Additional Insured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party added to a policy who receives coverage under specified conditions.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Subrogation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insurer's right to recover from a third party responsible for a covered loss.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Captive Insurance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wholly-owned subsidiary established to provide insurance coverage to its parent company.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Broker of Record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insurance broker authorized to represent [Company Name] in the insurance marketplace.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Coverage Requirements</w:t>
      </w:r>
    </w:p>
    <w:p>
      <w:pPr>
        <w:spacing w:after="150" w:before="0"/>
        <w:jc w:val="both"/>
      </w:pPr>
      <w:r>
        <w:rPr>
          <w:rFonts w:ascii="Calibri" w:cs="Calibri" w:eastAsia="Calibri" w:hAnsi="Calibri"/>
          <w:color w:val="333333"/>
          <w:sz w:val="22"/>
          <w:szCs w:val="22"/>
        </w:rPr>
        <w:t xml:space="preserve">[Company Name] shall maintain the following minimum insurance coverages: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Coverage Type</w:t>
            </w:r>
          </w:p>
        </w:tc>
        <w:tc>
          <w:tcPr>
            <w:tcW w:type="dxa" w:w="6160"/>
            <w:shd w:fill="0C0C0C" w:val="clear"/>
          </w:tcPr>
          <w:p>
            <w:pPr>
              <w:spacing w:after="60" w:before="60"/>
            </w:pPr>
            <w:r>
              <w:rPr>
                <w:rFonts w:ascii="Calibri" w:cs="Calibri" w:eastAsia="Calibri" w:hAnsi="Calibri"/>
                <w:b/>
                <w:bCs/>
                <w:color w:val="D4AF37"/>
                <w:sz w:val="20"/>
                <w:szCs w:val="20"/>
              </w:rPr>
              <w:t xml:space="preserve">Minimum Requirements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Commercial General Liability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$[X]M per occurrence / $[X]M aggregate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Umbrella / Excess Liability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$[X]M</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Property (all risk)</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Replacement value of owned/leased property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Business Interruption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[12] months of projected gross profit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Workers Compensation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Statutory limits per state requirements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Employers Liability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$[X]M</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Directors &amp; Officers Liability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$[X]M</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Employment Practices Liability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$[X]M</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Cyber Liability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$[X]M</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Crime / Fidelity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$[X]M</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Professional Liability / E&amp;O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$[X]M (if applicable)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Auto Liability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$[X]M combined single limit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International Coverage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As required by local law and operations</w:t>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Coverage limits should be reviewed annually and adjusted for business growth, acquisitions, and risk profile changes.</w:t>
      </w:r>
    </w:p>
    <w:p>
      <w:pPr>
        <w:pStyle w:val="Heading2"/>
        <w:spacing w:after="150" w:before="300"/>
      </w:pPr>
      <w:r>
        <w:rPr>
          <w:rFonts w:ascii="Georgia" w:cs="Georgia" w:eastAsia="Georgia" w:hAnsi="Georgia"/>
          <w:b/>
          <w:bCs/>
          <w:color w:val="333333"/>
          <w:sz w:val="26"/>
          <w:szCs w:val="26"/>
        </w:rPr>
        <w:t xml:space="preserve">3.2 Carrier Quality</w:t>
      </w:r>
    </w:p>
    <w:p>
      <w:pPr>
        <w:spacing w:after="150" w:before="0"/>
        <w:jc w:val="both"/>
      </w:pPr>
      <w:r>
        <w:rPr>
          <w:rFonts w:ascii="Calibri" w:cs="Calibri" w:eastAsia="Calibri" w:hAnsi="Calibri"/>
          <w:color w:val="333333"/>
          <w:sz w:val="22"/>
          <w:szCs w:val="22"/>
        </w:rPr>
        <w:t xml:space="preserve">Insurance shall be placed with carriers rated A- (Excellent) or better by A.M. Best, unless no rated carrier is available for a specific coverage. Concentration with any single carrier shall not exceed [40%] of total premium. International placements may use locally admitted carriers that meet local regulatory requirements.</w:t>
      </w:r>
    </w:p>
    <w:p>
      <w:pPr>
        <w:pStyle w:val="Heading2"/>
        <w:spacing w:after="150" w:before="300"/>
      </w:pPr>
      <w:r>
        <w:rPr>
          <w:rFonts w:ascii="Georgia" w:cs="Georgia" w:eastAsia="Georgia" w:hAnsi="Georgia"/>
          <w:b/>
          <w:bCs/>
          <w:color w:val="333333"/>
          <w:sz w:val="26"/>
          <w:szCs w:val="26"/>
        </w:rPr>
        <w:t xml:space="preserve">3.3 Risk Retention</w:t>
      </w:r>
    </w:p>
    <w:p>
      <w:pPr>
        <w:spacing w:after="150" w:before="0"/>
        <w:jc w:val="both"/>
      </w:pPr>
      <w:r>
        <w:rPr>
          <w:rFonts w:ascii="Calibri" w:cs="Calibri" w:eastAsia="Calibri" w:hAnsi="Calibri"/>
          <w:color w:val="333333"/>
          <w:sz w:val="22"/>
          <w:szCs w:val="22"/>
        </w:rPr>
        <w:t xml:space="preserve">[Company Name] shall retain risk up to levels that are financially manageable and cost-effective. Retention decisions consider: the company's financial capacity to absorb losses, the cost savings from higher retentions, loss history and predictability, and cash flow implications of retained losses. The CFO shall approve all retention levels exceeding [$X].</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insurance program. Approves coverage limits and retentions. Approves the insurance budget. Reviews the annual insurance renewal.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Risk Manager / Treasury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day-to-day insurance operations. Coordinates with brokers. Manages claims. Maintains certificates of insurance.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insurance expense allocation. Ensures proper accounting for self-insured liabilities. Reviews insurance-related disclosures.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Legal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policy terms and endorsements. Manages litigation-related claims. Advises on coverage disputes.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workers compensation claims. Coordinates with the safety program. Manages benefits-related insurance.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Facilities / Operations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Reports property losses and safety incidents. Maintains loss prevention programs. Coordinates property inspections.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Broker of Record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Places insurance in the marketplace. Provides market intelligence and benchmarking. Supports claims advocacy.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Annual Insurance Renewal</w:t>
      </w:r>
    </w:p>
    <w:p>
      <w:pPr>
        <w:spacing w:after="150" w:before="0"/>
        <w:jc w:val="both"/>
      </w:pPr>
      <w:r>
        <w:rPr>
          <w:rFonts w:ascii="Calibri" w:cs="Calibri" w:eastAsia="Calibri" w:hAnsi="Calibri"/>
          <w:color w:val="333333"/>
          <w:sz w:val="22"/>
          <w:szCs w:val="22"/>
        </w:rPr>
        <w:t xml:space="preserve">The annual insurance renewal process shall begin at least [120] days before the policy expiration date:</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Risk Manager compiles exposure data: revenue, assets, payroll, vehicle schedule, employee count by state</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Broker markets the program to carriers and obtains competitive quotes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Risk Manager and broker analyze coverage options, pricing, and terms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CFO reviews the renewal recommendation and approves the program</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Broker binds coverage before the expiration of existing policies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Certificates of insurance are updated and distributed to counterparties</w:t>
      </w:r>
    </w:p>
    <w:p>
      <w:pPr>
        <w:pStyle w:val="Heading2"/>
        <w:spacing w:after="150" w:before="300"/>
      </w:pPr>
      <w:r>
        <w:rPr>
          <w:rFonts w:ascii="Georgia" w:cs="Georgia" w:eastAsia="Georgia" w:hAnsi="Georgia"/>
          <w:b/>
          <w:bCs/>
          <w:color w:val="333333"/>
          <w:sz w:val="26"/>
          <w:szCs w:val="26"/>
        </w:rPr>
        <w:t xml:space="preserve">5.2 Claims Management</w:t>
      </w:r>
    </w:p>
    <w:p>
      <w:pPr>
        <w:pStyle w:val="Heading3"/>
        <w:spacing w:after="100" w:before="200"/>
      </w:pPr>
      <w:r>
        <w:rPr>
          <w:rFonts w:ascii="Georgia" w:cs="Georgia" w:eastAsia="Georgia" w:hAnsi="Georgia"/>
          <w:b/>
          <w:bCs/>
          <w:color w:val="444444"/>
          <w:sz w:val="22"/>
          <w:szCs w:val="22"/>
        </w:rPr>
        <w:t xml:space="preserve">5.2.1 Incident Reporting</w:t>
      </w:r>
    </w:p>
    <w:p>
      <w:pPr>
        <w:spacing w:after="150" w:before="0"/>
        <w:jc w:val="both"/>
      </w:pPr>
      <w:r>
        <w:rPr>
          <w:rFonts w:ascii="Calibri" w:cs="Calibri" w:eastAsia="Calibri" w:hAnsi="Calibri"/>
          <w:color w:val="333333"/>
          <w:sz w:val="22"/>
          <w:szCs w:val="22"/>
        </w:rPr>
        <w:t xml:space="preserve">All incidents that may give rise to an insurance claim shall be reported to the Risk Manager within [24] hours. This includes: property damage, injuries (employee or third party), vehicle accidents, professional errors, cyber incidents, and any threatened or actual litigation. Prompt reporting preserves coverage rights and enables early intervention.</w:t>
      </w:r>
    </w:p>
    <w:p>
      <w:pPr>
        <w:pStyle w:val="Heading3"/>
        <w:spacing w:after="100" w:before="200"/>
      </w:pPr>
      <w:r>
        <w:rPr>
          <w:rFonts w:ascii="Georgia" w:cs="Georgia" w:eastAsia="Georgia" w:hAnsi="Georgia"/>
          <w:b/>
          <w:bCs/>
          <w:color w:val="444444"/>
          <w:sz w:val="22"/>
          <w:szCs w:val="22"/>
        </w:rPr>
        <w:t xml:space="preserve">5.2.2 Claims Process</w:t>
      </w:r>
    </w:p>
    <w:p>
      <w:pPr>
        <w:spacing w:after="150" w:before="0"/>
        <w:jc w:val="both"/>
      </w:pPr>
      <w:r>
        <w:rPr>
          <w:rFonts w:ascii="Calibri" w:cs="Calibri" w:eastAsia="Calibri" w:hAnsi="Calibri"/>
          <w:color w:val="333333"/>
          <w:sz w:val="22"/>
          <w:szCs w:val="22"/>
        </w:rPr>
        <w:t xml:space="preserve">Upon notification, the Risk Manager shall: evaluate whether the incident is covered under an applicable policy, report the claim to the carrier within the policy's notice requirements, coordinate with the carrier's adjuster and Legal, document all claim-related expenses and communications, and track the claim through resolution. For significant claims (&gt; [$X]), the CFO shall be notified and status updates provided monthly.</w:t>
      </w:r>
    </w:p>
    <w:p>
      <w:pPr>
        <w:pStyle w:val="Heading3"/>
        <w:spacing w:after="100" w:before="200"/>
      </w:pPr>
      <w:r>
        <w:rPr>
          <w:rFonts w:ascii="Georgia" w:cs="Georgia" w:eastAsia="Georgia" w:hAnsi="Georgia"/>
          <w:b/>
          <w:bCs/>
          <w:color w:val="444444"/>
          <w:sz w:val="22"/>
          <w:szCs w:val="22"/>
        </w:rPr>
        <w:t xml:space="preserve">5.2.3 Claims Reserve Estimation</w:t>
      </w:r>
    </w:p>
    <w:p>
      <w:pPr>
        <w:spacing w:after="150" w:before="0"/>
        <w:jc w:val="both"/>
      </w:pPr>
      <w:r>
        <w:rPr>
          <w:rFonts w:ascii="Calibri" w:cs="Calibri" w:eastAsia="Calibri" w:hAnsi="Calibri"/>
          <w:color w:val="333333"/>
          <w:sz w:val="22"/>
          <w:szCs w:val="22"/>
        </w:rPr>
        <w:t xml:space="preserve">The Controller shall ensure that insurance claim receivables and self-insured loss reserves are properly recorded per US GAAP. Insurance recoveries shall be recorded only when recovery is probable. Self-insured losses shall be accrued when a loss is probable and the amount can be reasonably estimated.</w:t>
      </w:r>
    </w:p>
    <w:p>
      <w:pPr>
        <w:pStyle w:val="Heading2"/>
        <w:spacing w:after="150" w:before="300"/>
      </w:pPr>
      <w:r>
        <w:rPr>
          <w:rFonts w:ascii="Georgia" w:cs="Georgia" w:eastAsia="Georgia" w:hAnsi="Georgia"/>
          <w:b/>
          <w:bCs/>
          <w:color w:val="333333"/>
          <w:sz w:val="26"/>
          <w:szCs w:val="26"/>
        </w:rPr>
        <w:t xml:space="preserve">5.3 Certificate of Insurance Management</w:t>
      </w:r>
    </w:p>
    <w:p>
      <w:pPr>
        <w:spacing w:after="150" w:before="0"/>
        <w:jc w:val="both"/>
      </w:pPr>
      <w:r>
        <w:rPr>
          <w:rFonts w:ascii="Calibri" w:cs="Calibri" w:eastAsia="Calibri" w:hAnsi="Calibri"/>
          <w:color w:val="333333"/>
          <w:sz w:val="22"/>
          <w:szCs w:val="22"/>
        </w:rPr>
        <w:t xml:space="preserve">[Company Name] shall maintain a centralized COI management system. COIs shall be issued promptly upon request from customers, landlords, and other counterparties. The Risk Manager shall ensure that: additional insured requirements in contracts are met, COIs accurately reflect current coverage, and COI requests are processed within [2] business days.</w:t>
      </w:r>
    </w:p>
    <w:p>
      <w:pPr>
        <w:pStyle w:val="Heading2"/>
        <w:spacing w:after="150" w:before="300"/>
      </w:pPr>
      <w:r>
        <w:rPr>
          <w:rFonts w:ascii="Georgia" w:cs="Georgia" w:eastAsia="Georgia" w:hAnsi="Georgia"/>
          <w:b/>
          <w:bCs/>
          <w:color w:val="333333"/>
          <w:sz w:val="26"/>
          <w:szCs w:val="26"/>
        </w:rPr>
        <w:t xml:space="preserve">5.4 Contractual Insurance Requirements</w:t>
      </w:r>
    </w:p>
    <w:p>
      <w:pPr>
        <w:spacing w:after="150" w:before="0"/>
        <w:jc w:val="both"/>
      </w:pPr>
      <w:r>
        <w:rPr>
          <w:rFonts w:ascii="Calibri" w:cs="Calibri" w:eastAsia="Calibri" w:hAnsi="Calibri"/>
          <w:color w:val="333333"/>
          <w:sz w:val="22"/>
          <w:szCs w:val="22"/>
        </w:rPr>
        <w:t xml:space="preserve">Before signing contracts that contain insurance requirements, the Risk Manager shall review the insurance provisions to confirm that [Company Name]'s current coverage meets the requirements. If additional coverage is needed, the incremental cost shall be factored into the contract pricing. Standard contractual insurance requirements shall be established for [Company Name]'s vendor and customer contracts per the Procurement and Customer Contract Authority policies.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Annual insurance renewal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Total program</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New coverage line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Risk Manager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Coverage limit increase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[10%] increase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Self-insured retention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Claim settlement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$100K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Risk Manager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Claim settlement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$100K – $500K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Risk Manager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Claim settlement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$500K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Legal + Board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Broker of record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Coverage gaps (situations where contractual or regulatory insurance requirements exceed [Company Name]'s current coverage) shall be immediately escalated to the CFO with a recommendation for remediation. Operating without required insurance coverage is not permitted. If coverage is unavailable in the market, the CFO shall determine whether to self-insure the exposure with Board notification.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insurance program review with broker and CFO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claims review meeting (Risk Manager, Legal, CFO for significant claims)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COI compliance monitoring (ensure all required COIs are current)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property valuation update for insurance purposes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benchmarking of coverage and costs against industry peers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Insurance program renewed before expiration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Claims reported within 24 hours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COI request turnaround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2 business days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Total cost of risk as % of revenue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Benchmarked to industry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Uninsured losses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 material uninsured losses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Enterprise Risk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Business Continuity (Finance)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Cybersecurity (Finance)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Vendor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Workers Compensation and Workplace Safety (HR Policy)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Insurance Coverage Summary</w:t>
      </w:r>
    </w:p>
    <w:p>
      <w:pPr>
        <w:spacing w:after="150" w:before="0"/>
        <w:jc w:val="both"/>
      </w:pPr>
      <w:r>
        <w:rPr>
          <w:rFonts w:ascii="Calibri" w:cs="Calibri" w:eastAsia="Calibri" w:hAnsi="Calibri"/>
          <w:color w:val="333333"/>
          <w:sz w:val="22"/>
          <w:szCs w:val="22"/>
        </w:rPr>
        <w:t xml:space="preserve">A one-page summary of all active policies: carrier, policy number, coverage limits, deductible/SIR, premium, and expiration date. Updated at each renewal and distributed to the CFO, Controller, Legal, and HR.</w:t>
      </w:r>
    </w:p>
    <w:p>
      <w:pPr>
        <w:pStyle w:val="Heading2"/>
        <w:spacing w:after="150" w:before="300"/>
      </w:pPr>
      <w:r>
        <w:rPr>
          <w:rFonts w:ascii="Georgia" w:cs="Georgia" w:eastAsia="Georgia" w:hAnsi="Georgia"/>
          <w:b/>
          <w:bCs/>
          <w:color w:val="333333"/>
          <w:sz w:val="26"/>
          <w:szCs w:val="26"/>
        </w:rPr>
        <w:t xml:space="preserve">Appendix B — Incident Report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Date and time of incident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When the incident occurred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Location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Where the incident occurred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Description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What happened (factual, objective description)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Injuries / damages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Any injuries or property damage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Witnesses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Names and contact information of witnesses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Photos / documentation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Any photos, video, or documents related to the incident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Reported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 date reported to Risk Manager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11. Specialized Coverage Analysis</w:t>
      </w:r>
    </w:p>
    <w:p>
      <w:pPr>
        <w:pStyle w:val="Heading2"/>
        <w:spacing w:after="150" w:before="300"/>
      </w:pPr>
      <w:r>
        <w:rPr>
          <w:rFonts w:ascii="Georgia" w:cs="Georgia" w:eastAsia="Georgia" w:hAnsi="Georgia"/>
          <w:b/>
          <w:bCs/>
          <w:color w:val="333333"/>
          <w:sz w:val="26"/>
          <w:szCs w:val="26"/>
        </w:rPr>
        <w:t xml:space="preserve">11.1 Cyber Insurance Deep Dive</w:t>
      </w:r>
    </w:p>
    <w:p>
      <w:pPr>
        <w:spacing w:after="150" w:before="0"/>
        <w:jc w:val="both"/>
      </w:pPr>
      <w:r>
        <w:rPr>
          <w:rFonts w:ascii="Calibri" w:cs="Calibri" w:eastAsia="Calibri" w:hAnsi="Calibri"/>
          <w:color w:val="333333"/>
          <w:sz w:val="22"/>
          <w:szCs w:val="22"/>
        </w:rPr>
        <w:t xml:space="preserve">Given the increasing frequency and severity of cyber incidents, [Company Name] shall maintain cyber insurance coverage that addresses: first-party costs (forensic investigation, data restoration, business interruption, notification costs, credit monitoring), third-party liability (regulatory defense, PCI-DSS fines, customer lawsuits, media liability), social engineering and funds transfer fraud, and ransomware payments and negotiation costs. The cyber policy shall be reviewed semi-annually due to rapidly evolving coverage terms and exclusions.</w:t>
      </w:r>
    </w:p>
    <w:p>
      <w:pPr>
        <w:pStyle w:val="Heading2"/>
        <w:spacing w:after="150" w:before="300"/>
      </w:pPr>
      <w:r>
        <w:rPr>
          <w:rFonts w:ascii="Georgia" w:cs="Georgia" w:eastAsia="Georgia" w:hAnsi="Georgia"/>
          <w:b/>
          <w:bCs/>
          <w:color w:val="333333"/>
          <w:sz w:val="26"/>
          <w:szCs w:val="26"/>
        </w:rPr>
        <w:t xml:space="preserve">11.2 Directors and Officers (D&amp;O) Insurance</w:t>
      </w:r>
    </w:p>
    <w:p>
      <w:pPr>
        <w:spacing w:after="150" w:before="0"/>
        <w:jc w:val="both"/>
      </w:pPr>
      <w:r>
        <w:rPr>
          <w:rFonts w:ascii="Calibri" w:cs="Calibri" w:eastAsia="Calibri" w:hAnsi="Calibri"/>
          <w:color w:val="333333"/>
          <w:sz w:val="22"/>
          <w:szCs w:val="22"/>
        </w:rPr>
        <w:t xml:space="preserve">D&amp;O insurance protects directors and officers from personal liability arising from their corporate roles. The D&amp;O program shall include: Side A coverage (individual directors and officers when the company cannot indemnify), Side B coverage (reimbursement to the company for indemnification payments), Side C or Entity coverage (the company itself for securities claims), and adequate limits considering market capitalization, industry litigation risk, and M&amp;A activity.</w:t>
      </w:r>
    </w:p>
    <w:p>
      <w:pPr>
        <w:pStyle w:val="Heading2"/>
        <w:spacing w:after="150" w:before="300"/>
      </w:pPr>
      <w:r>
        <w:rPr>
          <w:rFonts w:ascii="Georgia" w:cs="Georgia" w:eastAsia="Georgia" w:hAnsi="Georgia"/>
          <w:b/>
          <w:bCs/>
          <w:color w:val="333333"/>
          <w:sz w:val="26"/>
          <w:szCs w:val="26"/>
        </w:rPr>
        <w:t xml:space="preserve">11.3 Employment Practices Liability (EPL)</w:t>
      </w:r>
    </w:p>
    <w:p>
      <w:pPr>
        <w:spacing w:after="150" w:before="0"/>
        <w:jc w:val="both"/>
      </w:pPr>
      <w:r>
        <w:rPr>
          <w:rFonts w:ascii="Calibri" w:cs="Calibri" w:eastAsia="Calibri" w:hAnsi="Calibri"/>
          <w:color w:val="333333"/>
          <w:sz w:val="22"/>
          <w:szCs w:val="22"/>
        </w:rPr>
        <w:t xml:space="preserve">EPL insurance covers claims arising from employment-related matters: discrimination, harassment, wrongful termination, wage and hour disputes, and retaliation. Coverage considerations include: adequate limits for the employee count and litigation environment, coverage for third-party claims (customer or vendor harassment), and wage and hour sublimit adequacy (a growing area of exposure).</w:t>
      </w:r>
    </w:p>
    <w:p>
      <w:pPr>
        <w:pStyle w:val="Heading2"/>
        <w:spacing w:after="150" w:before="300"/>
      </w:pPr>
      <w:r>
        <w:rPr>
          <w:rFonts w:ascii="Georgia" w:cs="Georgia" w:eastAsia="Georgia" w:hAnsi="Georgia"/>
          <w:b/>
          <w:bCs/>
          <w:color w:val="333333"/>
          <w:sz w:val="26"/>
          <w:szCs w:val="26"/>
        </w:rPr>
        <w:t xml:space="preserve">11.4 Representations and Warranties Insurance (RWI)</w:t>
      </w:r>
    </w:p>
    <w:p>
      <w:pPr>
        <w:spacing w:after="150" w:before="0"/>
        <w:jc w:val="both"/>
      </w:pPr>
      <w:r>
        <w:rPr>
          <w:rFonts w:ascii="Calibri" w:cs="Calibri" w:eastAsia="Calibri" w:hAnsi="Calibri"/>
          <w:color w:val="333333"/>
          <w:sz w:val="22"/>
          <w:szCs w:val="22"/>
        </w:rPr>
        <w:t xml:space="preserve">For M&amp;A transactions, [Company Name] shall evaluate Representations and Warranties Insurance as an alternative to or supplement for traditional indemnification escrows. RWI provides: cleaner deal economics (smaller or no escrow), protection beyond the survival period of representations, and coverage for seller breaches the buyer may not discover during diligence.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12. Risk Financing Strategy</w:t>
      </w:r>
    </w:p>
    <w:p>
      <w:pPr>
        <w:pStyle w:val="Heading2"/>
        <w:spacing w:after="150" w:before="300"/>
      </w:pPr>
      <w:r>
        <w:rPr>
          <w:rFonts w:ascii="Georgia" w:cs="Georgia" w:eastAsia="Georgia" w:hAnsi="Georgia"/>
          <w:b/>
          <w:bCs/>
          <w:color w:val="333333"/>
          <w:sz w:val="26"/>
          <w:szCs w:val="26"/>
        </w:rPr>
        <w:t xml:space="preserve">12.1 Retention Strategy</w:t>
      </w:r>
    </w:p>
    <w:p>
      <w:pPr>
        <w:spacing w:after="150" w:before="0"/>
        <w:jc w:val="both"/>
      </w:pPr>
      <w:r>
        <w:rPr>
          <w:rFonts w:ascii="Calibri" w:cs="Calibri" w:eastAsia="Calibri" w:hAnsi="Calibri"/>
          <w:color w:val="333333"/>
          <w:sz w:val="22"/>
          <w:szCs w:val="22"/>
        </w:rPr>
        <w:t xml:space="preserve">The optimal risk retention level balances: the cost savings from self-insuring predictable losses, the company's financial capacity to absorb retained losses, the volatility impact on earnings, and the availability and cost of insurance above the retention. The CFO shall approve the risk retention strategy annually as part of the insurance renewal.</w:t>
      </w:r>
    </w:p>
    <w:p>
      <w:pPr>
        <w:pStyle w:val="Heading2"/>
        <w:spacing w:after="150" w:before="300"/>
      </w:pPr>
      <w:r>
        <w:rPr>
          <w:rFonts w:ascii="Georgia" w:cs="Georgia" w:eastAsia="Georgia" w:hAnsi="Georgia"/>
          <w:b/>
          <w:bCs/>
          <w:color w:val="333333"/>
          <w:sz w:val="26"/>
          <w:szCs w:val="26"/>
        </w:rPr>
        <w:t xml:space="preserve">12.2 Captive Insurance Evaluation</w:t>
      </w:r>
    </w:p>
    <w:p>
      <w:pPr>
        <w:spacing w:after="150" w:before="0"/>
        <w:jc w:val="both"/>
      </w:pPr>
      <w:r>
        <w:rPr>
          <w:rFonts w:ascii="Calibri" w:cs="Calibri" w:eastAsia="Calibri" w:hAnsi="Calibri"/>
          <w:color w:val="333333"/>
          <w:sz w:val="22"/>
          <w:szCs w:val="22"/>
        </w:rPr>
        <w:t xml:space="preserve">[Company Name] shall periodically evaluate whether a captive insurance company would provide benefits including: access to reinsurance markets, tax-efficient funding of retained losses, formalization of self-insured programs, and coverage for risks not available in the commercial market. A captive feasibility study shall be conducted when the company's annual insurance premium exceeds [$X] or when significant uninsured risks exist.</w:t>
      </w:r>
    </w:p>
    <w:p>
      <w:pPr>
        <w:pStyle w:val="Heading2"/>
        <w:spacing w:after="150" w:before="300"/>
      </w:pPr>
      <w:r>
        <w:rPr>
          <w:rFonts w:ascii="Georgia" w:cs="Georgia" w:eastAsia="Georgia" w:hAnsi="Georgia"/>
          <w:b/>
          <w:bCs/>
          <w:color w:val="333333"/>
          <w:sz w:val="26"/>
          <w:szCs w:val="26"/>
        </w:rPr>
        <w:t xml:space="preserve">12.3 Loss Prevention and Safety</w:t>
      </w:r>
    </w:p>
    <w:p>
      <w:pPr>
        <w:spacing w:after="150" w:before="0"/>
        <w:jc w:val="both"/>
      </w:pPr>
      <w:r>
        <w:rPr>
          <w:rFonts w:ascii="Calibri" w:cs="Calibri" w:eastAsia="Calibri" w:hAnsi="Calibri"/>
          <w:color w:val="333333"/>
          <w:sz w:val="22"/>
          <w:szCs w:val="22"/>
        </w:rPr>
        <w:t xml:space="preserve">The insurance program shall be complemented by active loss prevention: workplace safety programs and OSHA compliance, property protection (fire suppression, security, maintenance), fleet safety (driver training, vehicle standards, telematics), cyber risk reduction (security programs, employee training, incident response), and business continuity planning (backup systems, alternate facilities, supply chain resilience). Loss prevention investments that reduce claim frequency and severity ultimately reduce insurance costs.</w:t>
      </w:r>
    </w:p>
    <w:p>
      <w:pPr>
        <w:pStyle w:val="Heading2"/>
        <w:spacing w:after="150" w:before="300"/>
      </w:pPr>
      <w:r>
        <w:rPr>
          <w:rFonts w:ascii="Georgia" w:cs="Georgia" w:eastAsia="Georgia" w:hAnsi="Georgia"/>
          <w:b/>
          <w:bCs/>
          <w:color w:val="333333"/>
          <w:sz w:val="26"/>
          <w:szCs w:val="26"/>
        </w:rPr>
        <w:t xml:space="preserve">12.4 Total Cost of Risk Benchmarking</w:t>
      </w:r>
    </w:p>
    <w:p>
      <w:pPr>
        <w:spacing w:after="150" w:before="0"/>
        <w:jc w:val="both"/>
      </w:pPr>
      <w:r>
        <w:rPr>
          <w:rFonts w:ascii="Calibri" w:cs="Calibri" w:eastAsia="Calibri" w:hAnsi="Calibri"/>
          <w:color w:val="333333"/>
          <w:sz w:val="22"/>
          <w:szCs w:val="22"/>
        </w:rPr>
        <w:t xml:space="preserve">[Company Name] shall benchmark its total cost of risk (TCOR) annually against industry peers. TCOR includes: insurance premiums (net of dividends and retrospective adjustments), retained losses (paid and reserved), loss adjustment expenses, risk management administrative costs, and risk financing costs (captive operating expenses, if applicable). The benchmark shall be used to identify improvement opportunities and justify risk management investments.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Insurance &amp; Risk Management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2026-07-13T07:38:24.682Z</dcterms:created>
  <dcterms:modified xsi:type="dcterms:W3CDTF">2026-07-13T07:38:24.682Z</dcterms:modified>
</cp:coreProperties>
</file>

<file path=docProps/custom.xml><?xml version="1.0" encoding="utf-8"?>
<Properties xmlns="http://schemas.openxmlformats.org/officeDocument/2006/custom-properties" xmlns:vt="http://schemas.openxmlformats.org/officeDocument/2006/docPropsVTypes"/>
</file>